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91" w:rsidRPr="00796C60" w:rsidRDefault="00796C60" w:rsidP="00796C60">
      <w:pPr>
        <w:ind w:left="4956" w:firstLine="708"/>
        <w:rPr>
          <w:rFonts w:ascii="Arial" w:hAnsi="Arial" w:cs="Arial"/>
        </w:rPr>
      </w:pP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Pr="00796C60">
        <w:rPr>
          <w:rFonts w:ascii="Arial" w:hAnsi="Arial" w:cs="Arial"/>
          <w:b/>
        </w:rPr>
        <w:tab/>
      </w:r>
      <w:r w:rsidR="000B02CF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</w:t>
      </w:r>
      <w:r w:rsidR="00D813A9">
        <w:rPr>
          <w:rFonts w:ascii="Arial" w:hAnsi="Arial" w:cs="Arial"/>
          <w:b/>
        </w:rPr>
        <w:tab/>
      </w:r>
      <w:r w:rsidR="00D813A9">
        <w:rPr>
          <w:rFonts w:ascii="Arial" w:hAnsi="Arial" w:cs="Arial"/>
          <w:b/>
        </w:rPr>
        <w:tab/>
      </w:r>
      <w:r w:rsidR="00873303" w:rsidRPr="00796C60">
        <w:rPr>
          <w:rFonts w:ascii="Arial" w:hAnsi="Arial" w:cs="Arial"/>
        </w:rPr>
        <w:t>Datum:</w:t>
      </w:r>
      <w:r w:rsidR="00FA5BF2">
        <w:rPr>
          <w:rFonts w:ascii="Arial" w:hAnsi="Arial" w:cs="Arial"/>
        </w:rPr>
        <w:t xml:space="preserve"> </w:t>
      </w:r>
      <w:r w:rsidR="00770213">
        <w:rPr>
          <w:rFonts w:ascii="Arial" w:hAnsi="Arial" w:cs="Arial"/>
        </w:rPr>
        <w:t>2</w:t>
      </w:r>
      <w:r w:rsidR="00625BF0">
        <w:rPr>
          <w:rFonts w:ascii="Arial" w:hAnsi="Arial" w:cs="Arial"/>
        </w:rPr>
        <w:t>6</w:t>
      </w:r>
      <w:r w:rsidR="00FA5BF2">
        <w:rPr>
          <w:rFonts w:ascii="Arial" w:hAnsi="Arial" w:cs="Arial"/>
        </w:rPr>
        <w:t>.</w:t>
      </w:r>
      <w:r w:rsidR="00625BF0">
        <w:rPr>
          <w:rFonts w:ascii="Arial" w:hAnsi="Arial" w:cs="Arial"/>
        </w:rPr>
        <w:t>02</w:t>
      </w:r>
      <w:r w:rsidR="00315CAE">
        <w:rPr>
          <w:rFonts w:ascii="Arial" w:hAnsi="Arial" w:cs="Arial"/>
        </w:rPr>
        <w:t>.</w:t>
      </w:r>
      <w:r w:rsidR="000B02CF">
        <w:rPr>
          <w:rFonts w:ascii="Arial" w:hAnsi="Arial" w:cs="Arial"/>
        </w:rPr>
        <w:t>201</w:t>
      </w:r>
      <w:r w:rsidR="00625BF0">
        <w:rPr>
          <w:rFonts w:ascii="Arial" w:hAnsi="Arial" w:cs="Arial"/>
        </w:rPr>
        <w:t>3</w:t>
      </w:r>
    </w:p>
    <w:p w:rsidR="00775A91" w:rsidRPr="004D0D32" w:rsidRDefault="00775A91" w:rsidP="00775A91">
      <w:pPr>
        <w:rPr>
          <w:rFonts w:ascii="Arial" w:hAnsi="Arial" w:cs="Arial"/>
          <w:b/>
          <w:i/>
        </w:rPr>
      </w:pPr>
    </w:p>
    <w:p w:rsidR="00775A91" w:rsidRPr="004D0D32" w:rsidRDefault="00775A91" w:rsidP="00B40A7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CA368F" w:rsidRDefault="00775A91" w:rsidP="00B40A7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 xml:space="preserve">SISTEM </w:t>
      </w:r>
      <w:r w:rsidR="00D95C3F" w:rsidRPr="004D0D32">
        <w:rPr>
          <w:rFonts w:ascii="Arial" w:hAnsi="Arial" w:cs="Arial"/>
          <w:b/>
        </w:rPr>
        <w:t>URAVNOTEŽEN</w:t>
      </w:r>
      <w:r w:rsidR="00917DCB" w:rsidRPr="004D0D32">
        <w:rPr>
          <w:rFonts w:ascii="Arial" w:hAnsi="Arial" w:cs="Arial"/>
          <w:b/>
        </w:rPr>
        <w:t xml:space="preserve">IH  </w:t>
      </w:r>
      <w:r w:rsidR="00D95C3F" w:rsidRPr="004D0D32">
        <w:rPr>
          <w:rFonts w:ascii="Arial" w:hAnsi="Arial" w:cs="Arial"/>
          <w:b/>
        </w:rPr>
        <w:t xml:space="preserve"> </w:t>
      </w:r>
      <w:r w:rsidRPr="004D0D32">
        <w:rPr>
          <w:rFonts w:ascii="Arial" w:hAnsi="Arial" w:cs="Arial"/>
          <w:b/>
        </w:rPr>
        <w:t>K</w:t>
      </w:r>
      <w:r w:rsidR="00634C19" w:rsidRPr="004D0D32">
        <w:rPr>
          <w:rFonts w:ascii="Arial" w:hAnsi="Arial" w:cs="Arial"/>
          <w:b/>
        </w:rPr>
        <w:t>AZAL</w:t>
      </w:r>
      <w:r w:rsidR="00CA368F">
        <w:rPr>
          <w:rFonts w:ascii="Arial" w:hAnsi="Arial" w:cs="Arial"/>
          <w:b/>
        </w:rPr>
        <w:t xml:space="preserve">CEV </w:t>
      </w:r>
      <w:r w:rsidR="00634C19" w:rsidRPr="004D0D32">
        <w:rPr>
          <w:rFonts w:ascii="Arial" w:hAnsi="Arial" w:cs="Arial"/>
          <w:b/>
        </w:rPr>
        <w:t xml:space="preserve"> USPEŠNOSTI </w:t>
      </w:r>
    </w:p>
    <w:p w:rsidR="00775A91" w:rsidRPr="004D0D32" w:rsidRDefault="00634C19" w:rsidP="00B40A7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v letu 20</w:t>
      </w:r>
      <w:r w:rsidR="00D569F4">
        <w:rPr>
          <w:rFonts w:ascii="Arial" w:hAnsi="Arial" w:cs="Arial"/>
          <w:b/>
        </w:rPr>
        <w:t>1</w:t>
      </w:r>
      <w:r w:rsidR="00D813A9">
        <w:rPr>
          <w:rFonts w:ascii="Arial" w:hAnsi="Arial" w:cs="Arial"/>
          <w:b/>
        </w:rPr>
        <w:t>3</w:t>
      </w:r>
    </w:p>
    <w:p w:rsidR="00775A91" w:rsidRPr="004D0D32" w:rsidRDefault="00775A91" w:rsidP="00B40A79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F571A3" w:rsidRPr="004D0D32" w:rsidRDefault="00F571A3" w:rsidP="00775A91">
      <w:pPr>
        <w:jc w:val="both"/>
        <w:rPr>
          <w:rFonts w:ascii="Arial" w:hAnsi="Arial" w:cs="Arial"/>
        </w:rPr>
      </w:pPr>
    </w:p>
    <w:p w:rsidR="0045590D" w:rsidRDefault="0045590D" w:rsidP="00775A91">
      <w:pPr>
        <w:jc w:val="both"/>
        <w:rPr>
          <w:rFonts w:ascii="Arial" w:hAnsi="Arial" w:cs="Arial"/>
        </w:rPr>
      </w:pPr>
    </w:p>
    <w:p w:rsidR="0045590D" w:rsidRDefault="0045590D" w:rsidP="00775A91">
      <w:pPr>
        <w:jc w:val="both"/>
        <w:rPr>
          <w:rFonts w:ascii="Arial" w:hAnsi="Arial" w:cs="Arial"/>
        </w:rPr>
      </w:pPr>
    </w:p>
    <w:p w:rsidR="00775A91" w:rsidRPr="004D0D32" w:rsidRDefault="00775A91" w:rsidP="00775A91">
      <w:p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Uravnotežen sistem kazalnikov uspešnosti temelji na presojanju doseganja standardov, z naslednjih štirih perspektiv:</w:t>
      </w:r>
    </w:p>
    <w:p w:rsidR="00B40A79" w:rsidRPr="004D0D32" w:rsidRDefault="00B40A79" w:rsidP="00B40A79">
      <w:pPr>
        <w:rPr>
          <w:rFonts w:ascii="Arial" w:hAnsi="Arial" w:cs="Arial"/>
        </w:rPr>
      </w:pPr>
    </w:p>
    <w:p w:rsidR="00775A91" w:rsidRPr="004D0D32" w:rsidRDefault="00775A91" w:rsidP="00775A91">
      <w:pPr>
        <w:jc w:val="both"/>
        <w:rPr>
          <w:rFonts w:ascii="Arial" w:hAnsi="Arial" w:cs="Arial"/>
        </w:rPr>
      </w:pPr>
    </w:p>
    <w:p w:rsidR="00775A91" w:rsidRPr="004D0D32" w:rsidRDefault="00775A91" w:rsidP="00775A9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odjemalcev</w:t>
      </w:r>
    </w:p>
    <w:p w:rsidR="00775A91" w:rsidRPr="004D0D32" w:rsidRDefault="00775A91" w:rsidP="00775A9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notranjih procesov</w:t>
      </w:r>
    </w:p>
    <w:p w:rsidR="00775A91" w:rsidRPr="004D0D32" w:rsidRDefault="00775A91" w:rsidP="00775A9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financ</w:t>
      </w:r>
    </w:p>
    <w:p w:rsidR="00775A91" w:rsidRPr="004D0D32" w:rsidRDefault="00775A91" w:rsidP="00775A9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>perspektiva učenja in rasti.</w:t>
      </w:r>
    </w:p>
    <w:p w:rsidR="00775A91" w:rsidRDefault="00775A91" w:rsidP="00775A91">
      <w:pPr>
        <w:jc w:val="both"/>
        <w:rPr>
          <w:rFonts w:ascii="Arial" w:hAnsi="Arial" w:cs="Arial"/>
        </w:rPr>
      </w:pPr>
    </w:p>
    <w:p w:rsidR="00E9380B" w:rsidRPr="004D0D32" w:rsidRDefault="00E9380B" w:rsidP="00775A91">
      <w:pPr>
        <w:jc w:val="both"/>
        <w:rPr>
          <w:rFonts w:ascii="Arial" w:hAnsi="Arial" w:cs="Arial"/>
        </w:rPr>
      </w:pPr>
    </w:p>
    <w:p w:rsidR="00775A91" w:rsidRPr="004D0D32" w:rsidRDefault="00775A91" w:rsidP="00775A91">
      <w:pPr>
        <w:jc w:val="both"/>
        <w:rPr>
          <w:rFonts w:ascii="Arial" w:hAnsi="Arial" w:cs="Arial"/>
        </w:rPr>
      </w:pPr>
    </w:p>
    <w:p w:rsidR="00775A91" w:rsidRPr="004D0D32" w:rsidRDefault="00775A91" w:rsidP="00775A91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ODJEMALCEV</w:t>
      </w:r>
    </w:p>
    <w:p w:rsidR="00775A91" w:rsidRPr="004D0D32" w:rsidRDefault="00775A91" w:rsidP="00775A91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2"/>
        <w:gridCol w:w="1802"/>
        <w:gridCol w:w="1785"/>
        <w:gridCol w:w="1883"/>
        <w:gridCol w:w="1683"/>
        <w:gridCol w:w="1671"/>
        <w:gridCol w:w="1671"/>
        <w:gridCol w:w="1671"/>
      </w:tblGrid>
      <w:tr w:rsidR="00374F2A" w:rsidRPr="00301AC2" w:rsidTr="00301AC2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ODJEMALCEV</w:t>
            </w:r>
          </w:p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 marec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junij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januar-september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374F2A" w:rsidRPr="00301AC2" w:rsidRDefault="005454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</w:t>
            </w:r>
            <w:r w:rsidR="00374F2A"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374F2A" w:rsidRPr="00301AC2" w:rsidTr="00301AC2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DELOVANJE DOMA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Uspešno in učinkovito delovanje doma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301A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Doseganje ciljev delovnega plana v %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D813A9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</w:t>
            </w:r>
            <w:r w:rsidR="00D813A9">
              <w:rPr>
                <w:rFonts w:ascii="Arial" w:hAnsi="Arial" w:cs="Arial"/>
                <w:sz w:val="18"/>
                <w:szCs w:val="18"/>
              </w:rPr>
              <w:t>5</w:t>
            </w:r>
            <w:r w:rsidRPr="00301AC2">
              <w:rPr>
                <w:rFonts w:ascii="Arial" w:hAnsi="Arial" w:cs="Arial"/>
                <w:sz w:val="18"/>
                <w:szCs w:val="18"/>
              </w:rPr>
              <w:t xml:space="preserve"> % doseganja letnih ciljev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D813A9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840356" w:rsidRPr="00625BF0" w:rsidRDefault="00BF5C1E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11" w:rsidRPr="00625BF0" w:rsidRDefault="00F96D11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E448BC" w:rsidRPr="00625BF0" w:rsidRDefault="00770213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86F8A" w:rsidRPr="00625BF0" w:rsidRDefault="00786F8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106</w:t>
            </w:r>
          </w:p>
          <w:p w:rsidR="00522668" w:rsidRPr="00625BF0" w:rsidRDefault="00522668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4F2A" w:rsidRPr="00301AC2" w:rsidTr="00301AC2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PRIDOBIVA</w:t>
            </w:r>
            <w:r w:rsidR="002C1147" w:rsidRPr="00301AC2"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JE ODJEMALCEV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Polna  zasedenost kapacitet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Povprečen % zasedenosti postelj</w:t>
            </w:r>
          </w:p>
          <w:p w:rsidR="00BF5C1E" w:rsidRDefault="00BF5C1E" w:rsidP="00301AC2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C1E" w:rsidRPr="00301AC2" w:rsidRDefault="00BF5C1E" w:rsidP="00301A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Kratkotrajne namestitve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98 % zasedenost</w:t>
            </w:r>
          </w:p>
          <w:p w:rsidR="00BF5C1E" w:rsidRDefault="00BF5C1E" w:rsidP="00301AC2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C1E" w:rsidRDefault="00BF5C1E" w:rsidP="00301AC2">
            <w:pPr>
              <w:rPr>
                <w:rFonts w:ascii="Arial" w:hAnsi="Arial" w:cs="Arial"/>
                <w:sz w:val="18"/>
                <w:szCs w:val="18"/>
              </w:rPr>
            </w:pPr>
          </w:p>
          <w:p w:rsidR="00BF5C1E" w:rsidRPr="00301AC2" w:rsidRDefault="00BF5C1E" w:rsidP="00301A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98 % zasedenost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3A1" w:rsidRPr="00625BF0" w:rsidRDefault="008373A1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D813A9" w:rsidP="00FE421B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103</w:t>
            </w:r>
          </w:p>
          <w:p w:rsidR="00BF5C1E" w:rsidRPr="00625BF0" w:rsidRDefault="00BF5C1E" w:rsidP="00FE421B">
            <w:pPr>
              <w:jc w:val="center"/>
              <w:rPr>
                <w:rFonts w:ascii="Arial" w:hAnsi="Arial" w:cs="Arial"/>
                <w:b/>
              </w:rPr>
            </w:pPr>
          </w:p>
          <w:p w:rsidR="00BF5C1E" w:rsidRPr="00625BF0" w:rsidRDefault="00BF5C1E" w:rsidP="00FE421B">
            <w:pPr>
              <w:jc w:val="center"/>
              <w:rPr>
                <w:rFonts w:ascii="Arial" w:hAnsi="Arial" w:cs="Arial"/>
                <w:b/>
              </w:rPr>
            </w:pPr>
          </w:p>
          <w:p w:rsidR="00BF5C1E" w:rsidRPr="00625BF0" w:rsidRDefault="00BF5C1E" w:rsidP="00FE421B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840356" w:rsidRPr="00625BF0" w:rsidRDefault="00BF5C1E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102</w:t>
            </w:r>
          </w:p>
          <w:p w:rsidR="00BF5C1E" w:rsidRPr="00625BF0" w:rsidRDefault="00BF5C1E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BF5C1E" w:rsidRPr="00625BF0" w:rsidRDefault="00BF5C1E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BF5C1E" w:rsidRPr="00625BF0" w:rsidRDefault="00BF5C1E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96D11" w:rsidRPr="00625BF0" w:rsidRDefault="00770213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102</w:t>
            </w:r>
          </w:p>
          <w:p w:rsidR="00770213" w:rsidRPr="00625BF0" w:rsidRDefault="00770213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770213" w:rsidRPr="00625BF0" w:rsidRDefault="00770213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770213" w:rsidRPr="00625BF0" w:rsidRDefault="00770213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E448BC" w:rsidRPr="00625BF0" w:rsidRDefault="00786F8A" w:rsidP="0059135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103</w:t>
            </w:r>
          </w:p>
          <w:p w:rsidR="00786F8A" w:rsidRPr="00625BF0" w:rsidRDefault="00786F8A" w:rsidP="0059135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86F8A" w:rsidRPr="00625BF0" w:rsidRDefault="00786F8A" w:rsidP="0059135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86F8A" w:rsidRPr="00625BF0" w:rsidRDefault="00786F8A" w:rsidP="0059135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111</w:t>
            </w:r>
          </w:p>
        </w:tc>
      </w:tr>
      <w:tr w:rsidR="00374F2A" w:rsidRPr="00301AC2" w:rsidTr="00301AC2">
        <w:trPr>
          <w:trHeight w:val="93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ZADOVOLJSTVO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Zadovoljstvo s storitvami</w:t>
            </w:r>
          </w:p>
          <w:p w:rsidR="00374F2A" w:rsidRPr="00301AC2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zadovoljstva po anketni metodi</w:t>
            </w:r>
          </w:p>
          <w:p w:rsidR="00374F2A" w:rsidRPr="00301AC2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D813A9" w:rsidP="00301A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374F2A" w:rsidRPr="00301AC2">
              <w:rPr>
                <w:rFonts w:ascii="Arial" w:hAnsi="Arial" w:cs="Arial"/>
                <w:sz w:val="18"/>
                <w:szCs w:val="18"/>
              </w:rPr>
              <w:t xml:space="preserve"> % zadovoljstvo, merjeno 1 x letno</w:t>
            </w:r>
          </w:p>
          <w:p w:rsidR="00374F2A" w:rsidRPr="00301AC2" w:rsidRDefault="00374F2A" w:rsidP="00301A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2E4CDA" w:rsidRPr="00625BF0" w:rsidRDefault="00D27DAC" w:rsidP="00FE421B">
            <w:pPr>
              <w:jc w:val="center"/>
              <w:rPr>
                <w:rFonts w:ascii="Arial" w:hAnsi="Arial" w:cs="Arial"/>
              </w:rPr>
            </w:pPr>
            <w:r w:rsidRPr="00625BF0">
              <w:rPr>
                <w:rFonts w:ascii="Arial" w:hAnsi="Arial" w:cs="Arial"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CDA" w:rsidRPr="00625BF0" w:rsidRDefault="002E4CD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840356" w:rsidRPr="00625BF0" w:rsidRDefault="00E844C0" w:rsidP="000B02CF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09D2" w:rsidRPr="00625BF0" w:rsidRDefault="009809D2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96D11" w:rsidRPr="00625BF0" w:rsidRDefault="002831E0" w:rsidP="0059135B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522668" w:rsidRPr="00625BF0" w:rsidRDefault="00786F8A" w:rsidP="00555E0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126</w:t>
            </w:r>
          </w:p>
        </w:tc>
      </w:tr>
    </w:tbl>
    <w:p w:rsidR="00775A91" w:rsidRDefault="00786F8A" w:rsidP="00775A91">
      <w:pPr>
        <w:rPr>
          <w:rFonts w:ascii="Arial" w:hAnsi="Arial" w:cs="Arial"/>
          <w:b/>
        </w:rPr>
      </w:pPr>
      <w:r w:rsidRPr="00786F8A">
        <w:rPr>
          <w:rFonts w:ascii="Arial" w:hAnsi="Arial" w:cs="Arial"/>
          <w:b/>
        </w:rPr>
        <w:lastRenderedPageBreak/>
        <w:drawing>
          <wp:inline distT="0" distB="0" distL="0" distR="0">
            <wp:extent cx="9058275" cy="2209800"/>
            <wp:effectExtent l="19050" t="0" r="952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2CA5" w:rsidRDefault="00D22CA5" w:rsidP="00775A91">
      <w:pPr>
        <w:rPr>
          <w:rFonts w:ascii="Arial" w:hAnsi="Arial" w:cs="Arial"/>
          <w:b/>
        </w:rPr>
      </w:pPr>
    </w:p>
    <w:p w:rsidR="00D22CA5" w:rsidRPr="004D0D32" w:rsidRDefault="00D22CA5" w:rsidP="00775A91">
      <w:pPr>
        <w:rPr>
          <w:rFonts w:ascii="Arial" w:hAnsi="Arial" w:cs="Arial"/>
          <w:b/>
        </w:rPr>
      </w:pPr>
    </w:p>
    <w:p w:rsidR="00775A91" w:rsidRDefault="00775A91" w:rsidP="00255196">
      <w:pPr>
        <w:jc w:val="center"/>
        <w:rPr>
          <w:rFonts w:ascii="Arial" w:hAnsi="Arial" w:cs="Arial"/>
          <w:b/>
        </w:rPr>
      </w:pPr>
    </w:p>
    <w:p w:rsidR="00D813A9" w:rsidRDefault="00D813A9" w:rsidP="00775A91">
      <w:pPr>
        <w:rPr>
          <w:rFonts w:ascii="Arial" w:hAnsi="Arial" w:cs="Arial"/>
          <w:b/>
          <w:sz w:val="16"/>
          <w:szCs w:val="16"/>
        </w:rPr>
      </w:pPr>
    </w:p>
    <w:p w:rsidR="00D813A9" w:rsidRDefault="00D813A9" w:rsidP="00775A91">
      <w:pPr>
        <w:rPr>
          <w:rFonts w:ascii="Arial" w:hAnsi="Arial" w:cs="Arial"/>
          <w:b/>
          <w:sz w:val="16"/>
          <w:szCs w:val="16"/>
        </w:rPr>
      </w:pPr>
    </w:p>
    <w:p w:rsidR="00A7578B" w:rsidRPr="000B02CF" w:rsidRDefault="00036E6C" w:rsidP="00775A91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Legenda: </w:t>
      </w:r>
    </w:p>
    <w:p w:rsidR="00036E6C" w:rsidRPr="000B02CF" w:rsidRDefault="00F927E3" w:rsidP="00775A9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-3.4pt;margin-top:10.05pt;width:12.75pt;height:12.75pt;z-index:251654144" fillcolor="#00b050" strokecolor="white"/>
        </w:pict>
      </w:r>
      <w:r w:rsidR="00036E6C" w:rsidRPr="000B02CF">
        <w:rPr>
          <w:rFonts w:ascii="Arial" w:hAnsi="Arial" w:cs="Arial"/>
          <w:b/>
          <w:sz w:val="16"/>
          <w:szCs w:val="16"/>
        </w:rPr>
        <w:t xml:space="preserve">    </w:t>
      </w:r>
    </w:p>
    <w:p w:rsidR="00036E6C" w:rsidRPr="000B02CF" w:rsidRDefault="00036E6C" w:rsidP="00775A91">
      <w:pPr>
        <w:rPr>
          <w:rFonts w:ascii="Arial" w:hAnsi="Arial" w:cs="Arial"/>
          <w:sz w:val="16"/>
          <w:szCs w:val="16"/>
        </w:rPr>
      </w:pPr>
      <w:r w:rsidRPr="000B02CF">
        <w:rPr>
          <w:rFonts w:ascii="Arial" w:hAnsi="Arial" w:cs="Arial"/>
          <w:sz w:val="16"/>
          <w:szCs w:val="16"/>
        </w:rPr>
        <w:t xml:space="preserve">     = </w:t>
      </w:r>
      <w:r w:rsidR="000B02CF">
        <w:rPr>
          <w:rFonts w:ascii="Arial" w:hAnsi="Arial" w:cs="Arial"/>
          <w:sz w:val="16"/>
          <w:szCs w:val="16"/>
        </w:rPr>
        <w:t xml:space="preserve">cilj (standard)  JE </w:t>
      </w:r>
      <w:r w:rsidR="000B02CF" w:rsidRPr="000B02CF">
        <w:rPr>
          <w:rFonts w:ascii="Arial" w:hAnsi="Arial" w:cs="Arial"/>
          <w:sz w:val="16"/>
          <w:szCs w:val="16"/>
        </w:rPr>
        <w:t xml:space="preserve"> dosežen </w:t>
      </w:r>
    </w:p>
    <w:p w:rsidR="00036E6C" w:rsidRPr="000B02CF" w:rsidRDefault="00F927E3" w:rsidP="00775A9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0" type="#_x0000_t4" style="position:absolute;margin-left:-4.15pt;margin-top:8.05pt;width:13.5pt;height:12pt;z-index:251655168" fillcolor="red" strokecolor="white"/>
        </w:pict>
      </w:r>
    </w:p>
    <w:p w:rsidR="00036E6C" w:rsidRPr="000B02CF" w:rsidRDefault="000B02CF" w:rsidP="00775A91">
      <w:pPr>
        <w:rPr>
          <w:rFonts w:ascii="Arial" w:hAnsi="Arial" w:cs="Arial"/>
          <w:sz w:val="16"/>
          <w:szCs w:val="16"/>
        </w:rPr>
      </w:pPr>
      <w:r w:rsidRPr="000B02CF">
        <w:rPr>
          <w:rFonts w:ascii="Arial" w:hAnsi="Arial" w:cs="Arial"/>
          <w:sz w:val="16"/>
          <w:szCs w:val="16"/>
        </w:rPr>
        <w:t xml:space="preserve">     = </w:t>
      </w:r>
      <w:r>
        <w:rPr>
          <w:rFonts w:ascii="Arial" w:hAnsi="Arial" w:cs="Arial"/>
          <w:sz w:val="16"/>
          <w:szCs w:val="16"/>
        </w:rPr>
        <w:t xml:space="preserve">cilj (standard)  NI </w:t>
      </w:r>
      <w:r w:rsidRPr="000B02CF">
        <w:rPr>
          <w:rFonts w:ascii="Arial" w:hAnsi="Arial" w:cs="Arial"/>
          <w:sz w:val="16"/>
          <w:szCs w:val="16"/>
        </w:rPr>
        <w:t>dosežen</w:t>
      </w:r>
    </w:p>
    <w:p w:rsidR="00036E6C" w:rsidRDefault="00036E6C" w:rsidP="00775A91">
      <w:pPr>
        <w:rPr>
          <w:rFonts w:ascii="Arial" w:hAnsi="Arial" w:cs="Arial"/>
          <w:b/>
        </w:rPr>
      </w:pPr>
    </w:p>
    <w:p w:rsidR="000B02CF" w:rsidRDefault="000B02CF" w:rsidP="00775A91">
      <w:pPr>
        <w:rPr>
          <w:rFonts w:ascii="Arial" w:hAnsi="Arial" w:cs="Arial"/>
          <w:b/>
        </w:rPr>
      </w:pPr>
    </w:p>
    <w:p w:rsidR="00255196" w:rsidRDefault="00352B55" w:rsidP="00775A91">
      <w:pPr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Obrazložitev:</w:t>
      </w:r>
    </w:p>
    <w:p w:rsidR="00BE5D77" w:rsidRDefault="00BE5D77" w:rsidP="00775A91">
      <w:pPr>
        <w:rPr>
          <w:rFonts w:ascii="Arial" w:hAnsi="Arial" w:cs="Arial"/>
          <w:b/>
        </w:rPr>
      </w:pPr>
    </w:p>
    <w:p w:rsidR="00073917" w:rsidRDefault="000B02CF" w:rsidP="00286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25BF0">
        <w:rPr>
          <w:rFonts w:ascii="Arial" w:hAnsi="Arial" w:cs="Arial"/>
        </w:rPr>
        <w:t>letu</w:t>
      </w:r>
      <w:r w:rsidR="00BC73EE">
        <w:rPr>
          <w:rFonts w:ascii="Arial" w:hAnsi="Arial" w:cs="Arial"/>
        </w:rPr>
        <w:t xml:space="preserve"> </w:t>
      </w:r>
      <w:r w:rsidR="00073917">
        <w:rPr>
          <w:rFonts w:ascii="Arial" w:hAnsi="Arial" w:cs="Arial"/>
        </w:rPr>
        <w:t xml:space="preserve">2013 </w:t>
      </w:r>
      <w:r>
        <w:rPr>
          <w:rFonts w:ascii="Arial" w:hAnsi="Arial" w:cs="Arial"/>
        </w:rPr>
        <w:t>so bili c</w:t>
      </w:r>
      <w:r w:rsidRPr="000B02CF">
        <w:rPr>
          <w:rFonts w:ascii="Arial" w:hAnsi="Arial" w:cs="Arial"/>
        </w:rPr>
        <w:t xml:space="preserve">ilji </w:t>
      </w:r>
      <w:r w:rsidR="00D22CA5">
        <w:rPr>
          <w:rFonts w:ascii="Arial" w:hAnsi="Arial" w:cs="Arial"/>
        </w:rPr>
        <w:t xml:space="preserve">perspektive odjemalci </w:t>
      </w:r>
      <w:r w:rsidR="00073917">
        <w:rPr>
          <w:rFonts w:ascii="Arial" w:hAnsi="Arial" w:cs="Arial"/>
        </w:rPr>
        <w:t xml:space="preserve">preseženi. </w:t>
      </w:r>
      <w:r>
        <w:rPr>
          <w:rFonts w:ascii="Arial" w:hAnsi="Arial" w:cs="Arial"/>
        </w:rPr>
        <w:t>Delovanje doma, izraženo s povprečnim  indeksom realizacije ciljev vseh procesov je bilo uspešno in učinkovito</w:t>
      </w:r>
      <w:r w:rsidR="002866E3">
        <w:rPr>
          <w:rFonts w:ascii="Arial" w:hAnsi="Arial" w:cs="Arial"/>
        </w:rPr>
        <w:t xml:space="preserve">, saj je za </w:t>
      </w:r>
      <w:r w:rsidR="00625BF0">
        <w:rPr>
          <w:rFonts w:ascii="Arial" w:hAnsi="Arial" w:cs="Arial"/>
        </w:rPr>
        <w:t>6</w:t>
      </w:r>
      <w:r w:rsidR="002866E3">
        <w:rPr>
          <w:rFonts w:ascii="Arial" w:hAnsi="Arial" w:cs="Arial"/>
        </w:rPr>
        <w:t xml:space="preserve"> % presegalo realizacijo načrtovanih </w:t>
      </w:r>
      <w:r w:rsidR="00625BF0">
        <w:rPr>
          <w:rFonts w:ascii="Arial" w:hAnsi="Arial" w:cs="Arial"/>
        </w:rPr>
        <w:t>letnih ciljev</w:t>
      </w:r>
      <w:r w:rsidR="002866E3">
        <w:rPr>
          <w:rFonts w:ascii="Arial" w:hAnsi="Arial" w:cs="Arial"/>
        </w:rPr>
        <w:t xml:space="preserve">. </w:t>
      </w:r>
      <w:r w:rsidR="00A02E74">
        <w:rPr>
          <w:rFonts w:ascii="Arial" w:hAnsi="Arial" w:cs="Arial"/>
        </w:rPr>
        <w:t xml:space="preserve">Kapacitete doma so bile v povprečju presežene za </w:t>
      </w:r>
      <w:r w:rsidR="00625BF0">
        <w:rPr>
          <w:rFonts w:ascii="Arial" w:hAnsi="Arial" w:cs="Arial"/>
        </w:rPr>
        <w:t>3</w:t>
      </w:r>
      <w:r w:rsidR="00BF5C1E">
        <w:rPr>
          <w:rFonts w:ascii="Arial" w:hAnsi="Arial" w:cs="Arial"/>
        </w:rPr>
        <w:t xml:space="preserve"> %, pri kratkotrajih namestitvah pa za 11 %. </w:t>
      </w:r>
      <w:r w:rsidR="00073917">
        <w:rPr>
          <w:rFonts w:ascii="Arial" w:hAnsi="Arial" w:cs="Arial"/>
        </w:rPr>
        <w:t xml:space="preserve">Zadovoljstvo odjemalcev </w:t>
      </w:r>
      <w:r w:rsidR="00625BF0">
        <w:rPr>
          <w:rFonts w:ascii="Arial" w:hAnsi="Arial" w:cs="Arial"/>
        </w:rPr>
        <w:t xml:space="preserve">pa je bilo 26 % višje od ciljne vrednosti. </w:t>
      </w:r>
      <w:r w:rsidR="00073917">
        <w:rPr>
          <w:rFonts w:ascii="Arial" w:hAnsi="Arial" w:cs="Arial"/>
        </w:rPr>
        <w:t xml:space="preserve"> </w:t>
      </w:r>
    </w:p>
    <w:p w:rsidR="00DC0B10" w:rsidRDefault="00DC0B10" w:rsidP="002866E3">
      <w:pPr>
        <w:jc w:val="both"/>
        <w:rPr>
          <w:rFonts w:ascii="Arial" w:hAnsi="Arial" w:cs="Arial"/>
        </w:rPr>
      </w:pPr>
    </w:p>
    <w:p w:rsidR="002866E3" w:rsidRPr="000B02CF" w:rsidRDefault="002866E3" w:rsidP="002866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 navedene</w:t>
      </w:r>
      <w:r w:rsidR="00F04538">
        <w:rPr>
          <w:rFonts w:ascii="Arial" w:hAnsi="Arial" w:cs="Arial"/>
        </w:rPr>
        <w:t>ga</w:t>
      </w:r>
      <w:r>
        <w:rPr>
          <w:rFonts w:ascii="Arial" w:hAnsi="Arial" w:cs="Arial"/>
        </w:rPr>
        <w:t xml:space="preserve"> sledi, da so bili cilji procesov, ki so vključeni v perspektivo odjemalci</w:t>
      </w:r>
      <w:r w:rsidR="00E92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doseženi, kar daje osnovo za oceno uspešnega in učinkovitega obvladovanja procesov, ki so neposredno vezani na odjemalce (stanovalce).</w:t>
      </w:r>
    </w:p>
    <w:p w:rsidR="00BE5D77" w:rsidRDefault="00BE5D77" w:rsidP="00775A91">
      <w:pPr>
        <w:rPr>
          <w:rFonts w:ascii="Arial" w:hAnsi="Arial" w:cs="Arial"/>
          <w:b/>
        </w:rPr>
      </w:pPr>
    </w:p>
    <w:p w:rsidR="00BE5D77" w:rsidRDefault="00BE5D77" w:rsidP="00775A91">
      <w:pPr>
        <w:rPr>
          <w:rFonts w:ascii="Arial" w:hAnsi="Arial" w:cs="Arial"/>
          <w:b/>
        </w:rPr>
      </w:pPr>
    </w:p>
    <w:p w:rsidR="00BE5D77" w:rsidRDefault="00BE5D77" w:rsidP="00775A91">
      <w:pPr>
        <w:rPr>
          <w:rFonts w:ascii="Arial" w:hAnsi="Arial" w:cs="Arial"/>
          <w:b/>
        </w:rPr>
      </w:pPr>
    </w:p>
    <w:p w:rsidR="00BE5D77" w:rsidRDefault="00BE5D77" w:rsidP="00775A91">
      <w:pPr>
        <w:rPr>
          <w:rFonts w:ascii="Arial" w:hAnsi="Arial" w:cs="Arial"/>
          <w:b/>
        </w:rPr>
      </w:pPr>
    </w:p>
    <w:p w:rsidR="000B02CF" w:rsidRPr="004D0D32" w:rsidRDefault="000B02CF" w:rsidP="00775A91">
      <w:pPr>
        <w:rPr>
          <w:rFonts w:ascii="Arial" w:hAnsi="Arial" w:cs="Arial"/>
          <w:b/>
        </w:rPr>
      </w:pPr>
    </w:p>
    <w:p w:rsidR="00D813A9" w:rsidRPr="00BF5C1E" w:rsidRDefault="00775A91" w:rsidP="00BF5C1E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lastRenderedPageBreak/>
        <w:t>PERSPEKTIVA NOTRANJIH PROCESOV</w:t>
      </w:r>
    </w:p>
    <w:p w:rsidR="00530B53" w:rsidRPr="004D0D32" w:rsidRDefault="00530B53" w:rsidP="00530B5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2"/>
        <w:gridCol w:w="1915"/>
        <w:gridCol w:w="1836"/>
        <w:gridCol w:w="1925"/>
        <w:gridCol w:w="1736"/>
        <w:gridCol w:w="1578"/>
        <w:gridCol w:w="1578"/>
        <w:gridCol w:w="1578"/>
      </w:tblGrid>
      <w:tr w:rsidR="00374F2A" w:rsidRPr="00301AC2" w:rsidTr="00301AC2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0B53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NOTRANJIH PROCES</w:t>
            </w:r>
            <w:r w:rsidR="00A82443" w:rsidRPr="00301AC2">
              <w:rPr>
                <w:rFonts w:ascii="Arial" w:hAnsi="Arial" w:cs="Arial"/>
                <w:b/>
                <w:sz w:val="18"/>
                <w:szCs w:val="18"/>
              </w:rPr>
              <w:t>OV</w:t>
            </w:r>
          </w:p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-september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E5D77" w:rsidRPr="00301AC2" w:rsidRDefault="00BE5D77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374F2A" w:rsidRPr="00301AC2" w:rsidTr="00301AC2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530B53" w:rsidRPr="00301AC2" w:rsidRDefault="00530B53" w:rsidP="00530B5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NAČRTOVANJE IN RAZVOJ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301AC2">
            <w:pPr>
              <w:tabs>
                <w:tab w:val="left" w:pos="495"/>
              </w:tabs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Načrtovanje in razvijanje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projektov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števila načrtovanih projektov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530B53" w:rsidRPr="00625BF0" w:rsidRDefault="00530B53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D813A9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545477" w:rsidRPr="00625BF0" w:rsidRDefault="00545477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D52ADB" w:rsidRPr="00625BF0" w:rsidRDefault="00BF5C1E" w:rsidP="002E5D7C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11" w:rsidRPr="00625BF0" w:rsidRDefault="00F96D11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530B53" w:rsidRPr="00625BF0" w:rsidRDefault="00530B53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106CC" w:rsidRPr="00625BF0" w:rsidRDefault="00770213" w:rsidP="002E5D7C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86F8A" w:rsidRPr="00625BF0" w:rsidRDefault="00786F8A" w:rsidP="002831E0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F68F8" w:rsidRPr="00625BF0" w:rsidRDefault="00786F8A" w:rsidP="002831E0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374F2A" w:rsidRPr="00301AC2" w:rsidTr="00301AC2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PRISKRBA VIROV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255196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virov potrebnih za izvajanje dejavnosti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planiranih virov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virov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BC73EE" w:rsidRPr="00625BF0" w:rsidRDefault="00BC73EE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1131AF" w:rsidRPr="00625BF0" w:rsidRDefault="00D813A9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50</w:t>
            </w:r>
          </w:p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1131AF" w:rsidRPr="00625BF0" w:rsidRDefault="001131AF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D52ADB" w:rsidRPr="00625BF0" w:rsidRDefault="00BF5C1E" w:rsidP="00D813A9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45590D" w:rsidRPr="00625BF0" w:rsidRDefault="0045590D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96D11" w:rsidRPr="00625BF0" w:rsidRDefault="00770213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FDD" w:rsidRPr="00625BF0" w:rsidRDefault="00756FDD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56FDD" w:rsidRPr="00625BF0" w:rsidRDefault="00756FDD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F68F8" w:rsidRPr="00625BF0" w:rsidRDefault="00786F8A" w:rsidP="00D813A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93</w:t>
            </w:r>
          </w:p>
        </w:tc>
      </w:tr>
      <w:tr w:rsidR="00374F2A" w:rsidRPr="00301AC2" w:rsidTr="00301AC2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55196" w:rsidRPr="00301AC2" w:rsidRDefault="00255196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NABAVA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Nabava surovin, storitev in gradbenih del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realizacije planiranega obsega nabave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obsega načrtovanih nabav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D813A9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D52ADB" w:rsidRPr="00625BF0" w:rsidRDefault="00BF5C1E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96D11" w:rsidRPr="00625BF0" w:rsidRDefault="00770213" w:rsidP="002E5D7C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86F8A" w:rsidRPr="00625BF0" w:rsidRDefault="00786F8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95</w:t>
            </w:r>
          </w:p>
          <w:p w:rsidR="006F68F8" w:rsidRPr="00625BF0" w:rsidRDefault="006F68F8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4F2A" w:rsidRPr="00301AC2" w:rsidTr="00301AC2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oskrbe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oskrbnih dni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realizacije načrtovanega letnega obsega  oskrbnih dni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E13DEA" w:rsidRPr="00625BF0" w:rsidRDefault="00D813A9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25</w:t>
            </w:r>
          </w:p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545477" w:rsidRPr="00625BF0" w:rsidRDefault="00545477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D52ADB" w:rsidRPr="00625BF0" w:rsidRDefault="00BF5C1E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96D11" w:rsidRPr="00625BF0" w:rsidRDefault="00F96D11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45590D" w:rsidRPr="00625BF0" w:rsidRDefault="00770213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1E0" w:rsidRPr="00625BF0" w:rsidRDefault="002831E0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2831E0" w:rsidRPr="00625BF0" w:rsidRDefault="002831E0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45590D" w:rsidRPr="00625BF0" w:rsidRDefault="00786F8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99</w:t>
            </w:r>
          </w:p>
          <w:p w:rsidR="006F68F8" w:rsidRPr="00625BF0" w:rsidRDefault="006F68F8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4F2A" w:rsidRPr="00301AC2" w:rsidTr="00301AC2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BF5C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ZDRAVSTVENA NEGA 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301A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storitev zdravstvene nege in rehabilitacije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negovalnih dni</w:t>
            </w:r>
          </w:p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števila dni zdravstvene nege</w:t>
            </w:r>
          </w:p>
          <w:p w:rsidR="000B02CF" w:rsidRPr="00301AC2" w:rsidRDefault="000B02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D813A9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25</w:t>
            </w:r>
          </w:p>
          <w:p w:rsidR="00634C19" w:rsidRPr="00625BF0" w:rsidRDefault="00634C19" w:rsidP="00301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D52ADB" w:rsidRPr="00625BF0" w:rsidRDefault="00D52ADB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D52ADB" w:rsidRPr="00625BF0" w:rsidRDefault="00BF5C1E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50</w:t>
            </w:r>
          </w:p>
          <w:p w:rsidR="00A644BF" w:rsidRPr="00625BF0" w:rsidRDefault="00A644BF" w:rsidP="00D27D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96D11" w:rsidRPr="00625BF0" w:rsidRDefault="00F96D11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96D11" w:rsidRPr="00625BF0" w:rsidRDefault="00770213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75</w:t>
            </w:r>
          </w:p>
          <w:p w:rsidR="00F96D11" w:rsidRPr="00625BF0" w:rsidRDefault="00F96D11" w:rsidP="00301A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F68F8" w:rsidRPr="00625BF0" w:rsidRDefault="006F68F8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F68F8" w:rsidRPr="00625BF0" w:rsidRDefault="00786F8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100</w:t>
            </w:r>
          </w:p>
          <w:p w:rsidR="006F68F8" w:rsidRPr="00625BF0" w:rsidRDefault="006F68F8" w:rsidP="002E5D7C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4F2A" w:rsidRPr="00301AC2" w:rsidTr="00301AC2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0B02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PREHRANA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Priprava starosti in zdravstvenemu stanju primerne  prehrane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obrokov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števila obrokov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0B02CF">
            <w:pPr>
              <w:rPr>
                <w:rFonts w:ascii="Arial" w:hAnsi="Arial" w:cs="Arial"/>
                <w:b/>
              </w:rPr>
            </w:pPr>
          </w:p>
          <w:p w:rsidR="00374F2A" w:rsidRPr="00625BF0" w:rsidRDefault="00D813A9" w:rsidP="002E5D7C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0B02CF">
            <w:pPr>
              <w:rPr>
                <w:rFonts w:ascii="Arial" w:hAnsi="Arial" w:cs="Arial"/>
                <w:b/>
              </w:rPr>
            </w:pPr>
          </w:p>
          <w:p w:rsidR="00D52ADB" w:rsidRPr="00625BF0" w:rsidRDefault="00BF5C1E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0B02CF">
            <w:pPr>
              <w:rPr>
                <w:rFonts w:ascii="Arial" w:hAnsi="Arial" w:cs="Arial"/>
                <w:b/>
              </w:rPr>
            </w:pPr>
          </w:p>
          <w:p w:rsidR="00F96D11" w:rsidRPr="00625BF0" w:rsidRDefault="00770213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0B02CF">
            <w:pPr>
              <w:rPr>
                <w:rFonts w:ascii="Arial" w:hAnsi="Arial" w:cs="Arial"/>
                <w:b/>
                <w:highlight w:val="yellow"/>
              </w:rPr>
            </w:pPr>
          </w:p>
          <w:p w:rsidR="006F68F8" w:rsidRPr="00625BF0" w:rsidRDefault="006F68F8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786F8A" w:rsidRPr="00625BF0" w:rsidRDefault="00786F8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90</w:t>
            </w:r>
          </w:p>
        </w:tc>
      </w:tr>
      <w:tr w:rsidR="00374F2A" w:rsidRPr="00301AC2" w:rsidTr="00301AC2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3A9" w:rsidRDefault="00D813A9" w:rsidP="00D813A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4D0D32" w:rsidRPr="00301AC2" w:rsidRDefault="004D0D32" w:rsidP="00D813A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RAČUNOVODSTVO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Zagotavljanje informacij o finančnem stanju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analiz realizacije finančnega načrta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4 analize letno (vsako tromesečje)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BF5C1E">
            <w:pPr>
              <w:jc w:val="center"/>
              <w:rPr>
                <w:rFonts w:ascii="Arial" w:hAnsi="Arial" w:cs="Arial"/>
                <w:b/>
              </w:rPr>
            </w:pPr>
          </w:p>
          <w:p w:rsidR="00E448BC" w:rsidRPr="00625BF0" w:rsidRDefault="00D813A9" w:rsidP="00BF5C1E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BF5C1E">
            <w:pPr>
              <w:jc w:val="center"/>
              <w:rPr>
                <w:rFonts w:ascii="Arial" w:hAnsi="Arial" w:cs="Arial"/>
                <w:b/>
              </w:rPr>
            </w:pPr>
          </w:p>
          <w:p w:rsidR="00D52ADB" w:rsidRPr="00625BF0" w:rsidRDefault="00BF5C1E" w:rsidP="00BF5C1E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50</w:t>
            </w:r>
          </w:p>
          <w:p w:rsidR="00D52ADB" w:rsidRPr="00625BF0" w:rsidRDefault="00D52ADB" w:rsidP="00BF5C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BF5C1E">
            <w:pPr>
              <w:jc w:val="center"/>
              <w:rPr>
                <w:rFonts w:ascii="Arial" w:hAnsi="Arial" w:cs="Arial"/>
                <w:b/>
              </w:rPr>
            </w:pPr>
          </w:p>
          <w:p w:rsidR="00F96D11" w:rsidRPr="00625BF0" w:rsidRDefault="00770213" w:rsidP="00BF5C1E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F8A" w:rsidRPr="00625BF0" w:rsidRDefault="00786F8A" w:rsidP="00BF5C1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374F2A" w:rsidRPr="00625BF0" w:rsidRDefault="00786F8A" w:rsidP="00BF5C1E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100</w:t>
            </w:r>
          </w:p>
          <w:p w:rsidR="006F68F8" w:rsidRPr="00625BF0" w:rsidRDefault="006F68F8" w:rsidP="00BF5C1E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72234B" w:rsidRPr="00301AC2" w:rsidTr="00301AC2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34B" w:rsidRPr="00301AC2" w:rsidRDefault="0072234B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234B" w:rsidRPr="00301AC2" w:rsidRDefault="0072234B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72234B" w:rsidRDefault="0072234B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VZDRŽEVANJE</w:t>
            </w:r>
          </w:p>
          <w:p w:rsidR="00CC7BE1" w:rsidRPr="00301AC2" w:rsidRDefault="00CC7BE1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34B" w:rsidRPr="00301AC2" w:rsidRDefault="0072234B" w:rsidP="0072234B">
            <w:pPr>
              <w:rPr>
                <w:rFonts w:ascii="Arial" w:hAnsi="Arial" w:cs="Arial"/>
                <w:sz w:val="18"/>
                <w:szCs w:val="18"/>
              </w:rPr>
            </w:pPr>
          </w:p>
          <w:p w:rsidR="00555E0B" w:rsidRDefault="00106747" w:rsidP="00555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Odprava napak </w:t>
            </w:r>
          </w:p>
          <w:p w:rsidR="0072234B" w:rsidRPr="00301AC2" w:rsidRDefault="0072234B" w:rsidP="00555E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34B" w:rsidRPr="00301AC2" w:rsidRDefault="0072234B" w:rsidP="00B06163">
            <w:pPr>
              <w:rPr>
                <w:rFonts w:ascii="Arial" w:hAnsi="Arial" w:cs="Arial"/>
                <w:sz w:val="18"/>
                <w:szCs w:val="18"/>
              </w:rPr>
            </w:pPr>
          </w:p>
          <w:p w:rsidR="00106747" w:rsidRDefault="00106747" w:rsidP="00B06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Odprava napak v 24. urah</w:t>
            </w:r>
          </w:p>
          <w:p w:rsidR="00106747" w:rsidRDefault="00106747" w:rsidP="00B06163">
            <w:pPr>
              <w:rPr>
                <w:rFonts w:ascii="Arial" w:hAnsi="Arial" w:cs="Arial"/>
                <w:sz w:val="18"/>
                <w:szCs w:val="18"/>
              </w:rPr>
            </w:pPr>
          </w:p>
          <w:p w:rsidR="0072234B" w:rsidRPr="00301AC2" w:rsidRDefault="0072234B" w:rsidP="00B061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C1E" w:rsidRDefault="00BF5C1E">
            <w:pPr>
              <w:rPr>
                <w:rFonts w:ascii="Arial" w:hAnsi="Arial" w:cs="Arial"/>
                <w:sz w:val="18"/>
                <w:szCs w:val="18"/>
              </w:rPr>
            </w:pPr>
          </w:p>
          <w:p w:rsidR="00106747" w:rsidRDefault="001067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90 % odpravljenih napak </w:t>
            </w:r>
          </w:p>
          <w:p w:rsidR="00106747" w:rsidRDefault="00106747">
            <w:pPr>
              <w:rPr>
                <w:rFonts w:ascii="Arial" w:hAnsi="Arial" w:cs="Arial"/>
                <w:sz w:val="18"/>
                <w:szCs w:val="18"/>
              </w:rPr>
            </w:pPr>
          </w:p>
          <w:p w:rsidR="008A4433" w:rsidRPr="00301AC2" w:rsidRDefault="008A44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5" w:rsidRPr="00625BF0" w:rsidRDefault="006355B5" w:rsidP="00106747">
            <w:pPr>
              <w:jc w:val="center"/>
              <w:rPr>
                <w:rFonts w:ascii="Arial" w:hAnsi="Arial" w:cs="Arial"/>
                <w:b/>
              </w:rPr>
            </w:pPr>
          </w:p>
          <w:p w:rsidR="00BF5C1E" w:rsidRPr="00625BF0" w:rsidRDefault="00BF5C1E" w:rsidP="00106747">
            <w:pPr>
              <w:jc w:val="center"/>
              <w:rPr>
                <w:rFonts w:ascii="Arial" w:hAnsi="Arial" w:cs="Arial"/>
                <w:b/>
              </w:rPr>
            </w:pPr>
          </w:p>
          <w:p w:rsidR="006275D2" w:rsidRPr="00625BF0" w:rsidRDefault="00D813A9" w:rsidP="00106747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83</w:t>
            </w:r>
          </w:p>
          <w:p w:rsidR="006355B5" w:rsidRPr="00625BF0" w:rsidRDefault="006355B5" w:rsidP="00D27D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5B5" w:rsidRPr="00625BF0" w:rsidRDefault="006355B5" w:rsidP="00106747">
            <w:pPr>
              <w:jc w:val="center"/>
              <w:rPr>
                <w:rFonts w:ascii="Arial" w:hAnsi="Arial" w:cs="Arial"/>
                <w:b/>
              </w:rPr>
            </w:pPr>
          </w:p>
          <w:p w:rsidR="006275D2" w:rsidRPr="00625BF0" w:rsidRDefault="006275D2" w:rsidP="00106747">
            <w:pPr>
              <w:jc w:val="center"/>
              <w:rPr>
                <w:rFonts w:ascii="Arial" w:hAnsi="Arial" w:cs="Arial"/>
                <w:b/>
              </w:rPr>
            </w:pPr>
          </w:p>
          <w:p w:rsidR="006355B5" w:rsidRPr="00625BF0" w:rsidRDefault="00BF5C1E" w:rsidP="00106747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6CC" w:rsidRPr="00625BF0" w:rsidRDefault="00F106CC" w:rsidP="00106747">
            <w:pPr>
              <w:jc w:val="center"/>
              <w:rPr>
                <w:rFonts w:ascii="Arial" w:hAnsi="Arial" w:cs="Arial"/>
                <w:b/>
              </w:rPr>
            </w:pPr>
          </w:p>
          <w:p w:rsidR="006275D2" w:rsidRPr="00625BF0" w:rsidRDefault="006275D2" w:rsidP="00106747">
            <w:pPr>
              <w:jc w:val="center"/>
              <w:rPr>
                <w:rFonts w:ascii="Arial" w:hAnsi="Arial" w:cs="Arial"/>
                <w:b/>
              </w:rPr>
            </w:pPr>
          </w:p>
          <w:p w:rsidR="00F106CC" w:rsidRPr="00625BF0" w:rsidRDefault="00770213" w:rsidP="00106747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7E9" w:rsidRPr="00625BF0" w:rsidRDefault="008637E9" w:rsidP="00106747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275D2" w:rsidRPr="00625BF0" w:rsidRDefault="006275D2" w:rsidP="00106747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8637E9" w:rsidRPr="00625BF0" w:rsidRDefault="00786F8A" w:rsidP="0010674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84</w:t>
            </w:r>
          </w:p>
        </w:tc>
      </w:tr>
    </w:tbl>
    <w:p w:rsidR="00097B5A" w:rsidRDefault="00786F8A" w:rsidP="00CB300E">
      <w:pPr>
        <w:rPr>
          <w:rFonts w:ascii="Arial" w:hAnsi="Arial" w:cs="Arial"/>
        </w:rPr>
      </w:pPr>
      <w:r w:rsidRPr="00786F8A">
        <w:rPr>
          <w:rFonts w:ascii="Arial" w:hAnsi="Arial" w:cs="Arial"/>
        </w:rPr>
        <w:lastRenderedPageBreak/>
        <w:drawing>
          <wp:inline distT="0" distB="0" distL="0" distR="0">
            <wp:extent cx="8991600" cy="2067560"/>
            <wp:effectExtent l="19050" t="0" r="19050" b="8890"/>
            <wp:docPr id="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97B5A" w:rsidRDefault="00097B5A" w:rsidP="00097B5A">
      <w:pPr>
        <w:jc w:val="center"/>
        <w:rPr>
          <w:rFonts w:ascii="Arial" w:hAnsi="Arial" w:cs="Arial"/>
          <w:noProof/>
        </w:rPr>
      </w:pPr>
    </w:p>
    <w:p w:rsidR="00D22CA5" w:rsidRDefault="00D22CA5" w:rsidP="000B02CF">
      <w:pPr>
        <w:rPr>
          <w:rFonts w:ascii="Arial" w:hAnsi="Arial" w:cs="Arial"/>
          <w:b/>
          <w:sz w:val="16"/>
          <w:szCs w:val="16"/>
        </w:rPr>
      </w:pPr>
    </w:p>
    <w:p w:rsidR="000B02CF" w:rsidRPr="000B02CF" w:rsidRDefault="000B02CF" w:rsidP="000B02CF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Legenda: </w:t>
      </w:r>
    </w:p>
    <w:p w:rsidR="000B02CF" w:rsidRPr="000B02CF" w:rsidRDefault="00F927E3" w:rsidP="000B02C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 id="_x0000_s1031" type="#_x0000_t5" style="position:absolute;margin-left:-3.4pt;margin-top:10.05pt;width:12.75pt;height:12.75pt;z-index:251656192" fillcolor="#00b050" strokecolor="white"/>
        </w:pict>
      </w:r>
      <w:r w:rsidR="000B02CF" w:rsidRPr="000B02CF">
        <w:rPr>
          <w:rFonts w:ascii="Arial" w:hAnsi="Arial" w:cs="Arial"/>
          <w:b/>
          <w:sz w:val="16"/>
          <w:szCs w:val="16"/>
        </w:rPr>
        <w:t xml:space="preserve">    </w:t>
      </w:r>
    </w:p>
    <w:p w:rsidR="000B02CF" w:rsidRPr="000B02CF" w:rsidRDefault="000B02CF" w:rsidP="000B02CF">
      <w:pPr>
        <w:rPr>
          <w:rFonts w:ascii="Arial" w:hAnsi="Arial" w:cs="Arial"/>
          <w:sz w:val="16"/>
          <w:szCs w:val="16"/>
        </w:rPr>
      </w:pPr>
      <w:r w:rsidRPr="000B02CF">
        <w:rPr>
          <w:rFonts w:ascii="Arial" w:hAnsi="Arial" w:cs="Arial"/>
          <w:sz w:val="16"/>
          <w:szCs w:val="16"/>
        </w:rPr>
        <w:t xml:space="preserve">     = cilj (standard) </w:t>
      </w:r>
      <w:r>
        <w:rPr>
          <w:rFonts w:ascii="Arial" w:hAnsi="Arial" w:cs="Arial"/>
          <w:sz w:val="16"/>
          <w:szCs w:val="16"/>
        </w:rPr>
        <w:t xml:space="preserve"> JE </w:t>
      </w:r>
      <w:r w:rsidRPr="000B02CF">
        <w:rPr>
          <w:rFonts w:ascii="Arial" w:hAnsi="Arial" w:cs="Arial"/>
          <w:sz w:val="16"/>
          <w:szCs w:val="16"/>
        </w:rPr>
        <w:t xml:space="preserve"> dosežen </w:t>
      </w:r>
    </w:p>
    <w:p w:rsidR="000B02CF" w:rsidRDefault="00F927E3" w:rsidP="000B02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32" type="#_x0000_t4" style="position:absolute;margin-left:-4.15pt;margin-top:8.05pt;width:13.5pt;height:12pt;z-index:251657216" fillcolor="red" strokecolor="white"/>
        </w:pict>
      </w:r>
    </w:p>
    <w:p w:rsidR="000B02CF" w:rsidRPr="000B02CF" w:rsidRDefault="000B02CF" w:rsidP="000B02CF">
      <w:pPr>
        <w:rPr>
          <w:rFonts w:ascii="Arial" w:hAnsi="Arial" w:cs="Arial"/>
          <w:sz w:val="16"/>
          <w:szCs w:val="16"/>
        </w:rPr>
      </w:pPr>
      <w:r w:rsidRPr="000B02CF">
        <w:rPr>
          <w:rFonts w:ascii="Arial" w:hAnsi="Arial" w:cs="Arial"/>
          <w:sz w:val="16"/>
          <w:szCs w:val="16"/>
        </w:rPr>
        <w:t xml:space="preserve">     = </w:t>
      </w:r>
      <w:r>
        <w:rPr>
          <w:rFonts w:ascii="Arial" w:hAnsi="Arial" w:cs="Arial"/>
          <w:sz w:val="16"/>
          <w:szCs w:val="16"/>
        </w:rPr>
        <w:t xml:space="preserve">cilj (standard)  NI </w:t>
      </w:r>
      <w:r w:rsidRPr="000B02CF">
        <w:rPr>
          <w:rFonts w:ascii="Arial" w:hAnsi="Arial" w:cs="Arial"/>
          <w:sz w:val="16"/>
          <w:szCs w:val="16"/>
        </w:rPr>
        <w:t>dosežen</w:t>
      </w:r>
    </w:p>
    <w:p w:rsidR="00073917" w:rsidRDefault="00073917" w:rsidP="00141186">
      <w:pPr>
        <w:rPr>
          <w:rFonts w:ascii="Arial" w:hAnsi="Arial" w:cs="Arial"/>
          <w:b/>
        </w:rPr>
      </w:pPr>
    </w:p>
    <w:p w:rsidR="002866E3" w:rsidRDefault="002866E3" w:rsidP="00141186">
      <w:pPr>
        <w:rPr>
          <w:rFonts w:ascii="Arial" w:hAnsi="Arial" w:cs="Arial"/>
          <w:b/>
        </w:rPr>
      </w:pPr>
    </w:p>
    <w:p w:rsidR="00281E3B" w:rsidRDefault="00700AD0" w:rsidP="001411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Obrazložitev:</w:t>
      </w:r>
    </w:p>
    <w:p w:rsidR="002866E3" w:rsidRDefault="002866E3" w:rsidP="00141186">
      <w:pPr>
        <w:rPr>
          <w:rFonts w:ascii="Arial" w:hAnsi="Arial" w:cs="Arial"/>
          <w:b/>
        </w:rPr>
      </w:pPr>
    </w:p>
    <w:p w:rsidR="00CB300E" w:rsidRDefault="002866E3" w:rsidP="004F1146">
      <w:pPr>
        <w:jc w:val="both"/>
        <w:rPr>
          <w:rFonts w:ascii="Arial" w:hAnsi="Arial" w:cs="Arial"/>
        </w:rPr>
      </w:pPr>
      <w:r w:rsidRPr="002866E3">
        <w:rPr>
          <w:rFonts w:ascii="Arial" w:hAnsi="Arial" w:cs="Arial"/>
        </w:rPr>
        <w:t xml:space="preserve">Cilji notranjih procesov so bili doseženi v </w:t>
      </w:r>
      <w:r>
        <w:rPr>
          <w:rFonts w:ascii="Arial" w:hAnsi="Arial" w:cs="Arial"/>
        </w:rPr>
        <w:t xml:space="preserve">povprečnem </w:t>
      </w:r>
      <w:r w:rsidRPr="002866E3">
        <w:rPr>
          <w:rFonts w:ascii="Arial" w:hAnsi="Arial" w:cs="Arial"/>
        </w:rPr>
        <w:t>obsegu</w:t>
      </w:r>
      <w:r w:rsidR="00B91413">
        <w:rPr>
          <w:rFonts w:ascii="Arial" w:hAnsi="Arial" w:cs="Arial"/>
        </w:rPr>
        <w:t xml:space="preserve"> </w:t>
      </w:r>
      <w:r w:rsidR="000260CD">
        <w:rPr>
          <w:rFonts w:ascii="Arial" w:hAnsi="Arial" w:cs="Arial"/>
        </w:rPr>
        <w:t>95</w:t>
      </w:r>
      <w:r w:rsidRPr="002866E3">
        <w:rPr>
          <w:rFonts w:ascii="Arial" w:hAnsi="Arial" w:cs="Arial"/>
        </w:rPr>
        <w:t xml:space="preserve"> %</w:t>
      </w:r>
      <w:r w:rsidR="00073917">
        <w:rPr>
          <w:rFonts w:ascii="Arial" w:hAnsi="Arial" w:cs="Arial"/>
        </w:rPr>
        <w:t xml:space="preserve">, kar je </w:t>
      </w:r>
      <w:r w:rsidR="000260CD">
        <w:rPr>
          <w:rFonts w:ascii="Arial" w:hAnsi="Arial" w:cs="Arial"/>
        </w:rPr>
        <w:t>5</w:t>
      </w:r>
      <w:r w:rsidR="00073917">
        <w:rPr>
          <w:rFonts w:ascii="Arial" w:hAnsi="Arial" w:cs="Arial"/>
        </w:rPr>
        <w:t xml:space="preserve"> % </w:t>
      </w:r>
      <w:r w:rsidR="00BC73EE">
        <w:rPr>
          <w:rFonts w:ascii="Arial" w:hAnsi="Arial" w:cs="Arial"/>
        </w:rPr>
        <w:t>pod</w:t>
      </w:r>
      <w:r w:rsidR="00073917">
        <w:rPr>
          <w:rFonts w:ascii="Arial" w:hAnsi="Arial" w:cs="Arial"/>
        </w:rPr>
        <w:t xml:space="preserve"> povprečno planirano vrednostjo.</w:t>
      </w:r>
      <w:r>
        <w:rPr>
          <w:rFonts w:ascii="Arial" w:hAnsi="Arial" w:cs="Arial"/>
        </w:rPr>
        <w:t xml:space="preserve"> Načrtovanje in razvoj, ki ju opredeljujejo projekti v letu 201</w:t>
      </w:r>
      <w:r w:rsidR="00073917">
        <w:rPr>
          <w:rFonts w:ascii="Arial" w:hAnsi="Arial" w:cs="Arial"/>
        </w:rPr>
        <w:t>3</w:t>
      </w:r>
      <w:r w:rsidR="00DC0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B300E">
        <w:rPr>
          <w:rFonts w:ascii="Arial" w:hAnsi="Arial" w:cs="Arial"/>
        </w:rPr>
        <w:t xml:space="preserve">so bili realizirani pri cilju </w:t>
      </w:r>
      <w:r w:rsidR="00F04538">
        <w:rPr>
          <w:rFonts w:ascii="Arial" w:hAnsi="Arial" w:cs="Arial"/>
        </w:rPr>
        <w:t>projekta energetske sanacije. P</w:t>
      </w:r>
      <w:r w:rsidR="00CB300E">
        <w:rPr>
          <w:rFonts w:ascii="Arial" w:hAnsi="Arial" w:cs="Arial"/>
        </w:rPr>
        <w:t>rojekta razvoja specializirane mobilne službe za pomoč na domu in prehod na eno in dvoposteljne sobe, pa sta vezana na aktivnosti občin Črnomelj in Semič</w:t>
      </w:r>
      <w:r w:rsidR="00F04538">
        <w:rPr>
          <w:rFonts w:ascii="Arial" w:hAnsi="Arial" w:cs="Arial"/>
        </w:rPr>
        <w:t xml:space="preserve">, ki v letu 2013 nista zagotovili aktivnosti za  izvedbo projektov. </w:t>
      </w:r>
    </w:p>
    <w:p w:rsidR="00CB300E" w:rsidRDefault="00CB300E" w:rsidP="004F1146">
      <w:pPr>
        <w:jc w:val="both"/>
        <w:rPr>
          <w:rFonts w:ascii="Arial" w:hAnsi="Arial" w:cs="Arial"/>
        </w:rPr>
      </w:pPr>
    </w:p>
    <w:p w:rsidR="004F1146" w:rsidRDefault="00E844C0" w:rsidP="004F11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Realizacija priskrbe</w:t>
      </w:r>
      <w:r w:rsidR="002866E3">
        <w:rPr>
          <w:rFonts w:ascii="Arial" w:hAnsi="Arial" w:cs="Arial"/>
        </w:rPr>
        <w:t xml:space="preserve"> virov</w:t>
      </w:r>
      <w:r w:rsidR="00991260">
        <w:rPr>
          <w:rFonts w:ascii="Arial" w:hAnsi="Arial" w:cs="Arial"/>
        </w:rPr>
        <w:t xml:space="preserve"> </w:t>
      </w:r>
      <w:r w:rsidR="00073917">
        <w:rPr>
          <w:rFonts w:ascii="Arial" w:hAnsi="Arial" w:cs="Arial"/>
        </w:rPr>
        <w:t xml:space="preserve">je bila </w:t>
      </w:r>
      <w:r w:rsidR="00991260">
        <w:rPr>
          <w:rFonts w:ascii="Arial" w:hAnsi="Arial" w:cs="Arial"/>
        </w:rPr>
        <w:t xml:space="preserve">  </w:t>
      </w:r>
      <w:r w:rsidR="000260C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% </w:t>
      </w:r>
      <w:r w:rsidR="00BC73EE">
        <w:rPr>
          <w:rFonts w:ascii="Arial" w:hAnsi="Arial" w:cs="Arial"/>
        </w:rPr>
        <w:t>pod</w:t>
      </w:r>
      <w:r w:rsidR="000739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planiranim obsegom</w:t>
      </w:r>
      <w:r w:rsidR="00BC73EE">
        <w:rPr>
          <w:rFonts w:ascii="Arial" w:hAnsi="Arial" w:cs="Arial"/>
        </w:rPr>
        <w:t xml:space="preserve">, na račun </w:t>
      </w:r>
      <w:r w:rsidR="000260CD">
        <w:rPr>
          <w:rFonts w:ascii="Arial" w:hAnsi="Arial" w:cs="Arial"/>
        </w:rPr>
        <w:t xml:space="preserve">opustitve nabave računalniških licenc  in nižjega povečanja finančnih sredstev, kot je bilo načrtovano. </w:t>
      </w:r>
      <w:r w:rsidR="00073917">
        <w:rPr>
          <w:rFonts w:ascii="Arial" w:hAnsi="Arial" w:cs="Arial"/>
        </w:rPr>
        <w:t xml:space="preserve">Nabava je </w:t>
      </w:r>
      <w:r w:rsidR="00F04538">
        <w:rPr>
          <w:rFonts w:ascii="Arial" w:hAnsi="Arial" w:cs="Arial"/>
        </w:rPr>
        <w:t xml:space="preserve">bila </w:t>
      </w:r>
      <w:r w:rsidR="00073917">
        <w:rPr>
          <w:rFonts w:ascii="Arial" w:hAnsi="Arial" w:cs="Arial"/>
        </w:rPr>
        <w:t xml:space="preserve">realizirana v obsegu </w:t>
      </w:r>
      <w:r w:rsidR="000260CD">
        <w:rPr>
          <w:rFonts w:ascii="Arial" w:hAnsi="Arial" w:cs="Arial"/>
        </w:rPr>
        <w:t xml:space="preserve">95 %, ker nista  bila nabavljena preje imenovane licence in zavese v fiziterapiji. </w:t>
      </w:r>
      <w:r w:rsidR="004F1146">
        <w:rPr>
          <w:rFonts w:ascii="Arial" w:hAnsi="Arial" w:cs="Arial"/>
        </w:rPr>
        <w:t xml:space="preserve">Cilj oskrbe </w:t>
      </w:r>
      <w:r w:rsidR="000260CD">
        <w:rPr>
          <w:rFonts w:ascii="Arial" w:hAnsi="Arial" w:cs="Arial"/>
        </w:rPr>
        <w:t xml:space="preserve">je bil realiziran 1 % pod planom, cilj </w:t>
      </w:r>
      <w:r w:rsidR="001B6A8E">
        <w:rPr>
          <w:rFonts w:ascii="Arial" w:hAnsi="Arial" w:cs="Arial"/>
        </w:rPr>
        <w:t>z</w:t>
      </w:r>
      <w:r w:rsidR="000260CD">
        <w:rPr>
          <w:rFonts w:ascii="Arial" w:hAnsi="Arial" w:cs="Arial"/>
        </w:rPr>
        <w:t xml:space="preserve">dravstvene nege pa skladno </w:t>
      </w:r>
      <w:r w:rsidR="004F1146">
        <w:rPr>
          <w:rFonts w:ascii="Arial" w:hAnsi="Arial" w:cs="Arial"/>
        </w:rPr>
        <w:t xml:space="preserve">z načrtom. </w:t>
      </w:r>
      <w:r w:rsidR="00DC0B10">
        <w:rPr>
          <w:rFonts w:ascii="Arial" w:hAnsi="Arial" w:cs="Arial"/>
        </w:rPr>
        <w:t xml:space="preserve">Cilji procesa </w:t>
      </w:r>
      <w:r w:rsidR="004F1146">
        <w:rPr>
          <w:rFonts w:ascii="Arial" w:hAnsi="Arial" w:cs="Arial"/>
        </w:rPr>
        <w:t xml:space="preserve">prehrane </w:t>
      </w:r>
      <w:r w:rsidR="00DC0B10">
        <w:rPr>
          <w:rFonts w:ascii="Arial" w:hAnsi="Arial" w:cs="Arial"/>
        </w:rPr>
        <w:t xml:space="preserve">so bili </w:t>
      </w:r>
      <w:r w:rsidR="000260CD">
        <w:rPr>
          <w:rFonts w:ascii="Arial" w:hAnsi="Arial" w:cs="Arial"/>
        </w:rPr>
        <w:t>10</w:t>
      </w:r>
      <w:r w:rsidR="00DC0B10">
        <w:rPr>
          <w:rFonts w:ascii="Arial" w:hAnsi="Arial" w:cs="Arial"/>
        </w:rPr>
        <w:t xml:space="preserve"> % </w:t>
      </w:r>
      <w:r w:rsidR="000260CD">
        <w:rPr>
          <w:rFonts w:ascii="Arial" w:hAnsi="Arial" w:cs="Arial"/>
        </w:rPr>
        <w:t xml:space="preserve">pod </w:t>
      </w:r>
      <w:r w:rsidR="00DC0B10">
        <w:rPr>
          <w:rFonts w:ascii="Arial" w:hAnsi="Arial" w:cs="Arial"/>
        </w:rPr>
        <w:t xml:space="preserve">načrtovanim obsegom, cilji procesa računovodstvo pa so bili skladni z načrtovanim. </w:t>
      </w:r>
    </w:p>
    <w:p w:rsidR="004F1146" w:rsidRDefault="004F1146" w:rsidP="004F1146">
      <w:pPr>
        <w:jc w:val="both"/>
        <w:rPr>
          <w:rFonts w:ascii="Arial" w:hAnsi="Arial" w:cs="Arial"/>
        </w:rPr>
      </w:pPr>
    </w:p>
    <w:p w:rsidR="004F1146" w:rsidRDefault="004F1146" w:rsidP="004F11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Cilj procesa vzdrževanje ni bil</w:t>
      </w:r>
      <w:r w:rsidR="00CB300E">
        <w:rPr>
          <w:rFonts w:ascii="Arial" w:hAnsi="Arial" w:cs="Arial"/>
        </w:rPr>
        <w:t xml:space="preserve"> dosežen</w:t>
      </w:r>
      <w:r>
        <w:rPr>
          <w:rFonts w:ascii="Arial" w:hAnsi="Arial" w:cs="Arial"/>
        </w:rPr>
        <w:t xml:space="preserve">. Povprečno so </w:t>
      </w:r>
      <w:r w:rsidR="00CB300E">
        <w:rPr>
          <w:rFonts w:ascii="Arial" w:hAnsi="Arial" w:cs="Arial"/>
        </w:rPr>
        <w:t xml:space="preserve">bile okvare v enem dnevu odpravljene v </w:t>
      </w:r>
      <w:r w:rsidR="00BD14C2">
        <w:rPr>
          <w:rFonts w:ascii="Arial" w:hAnsi="Arial" w:cs="Arial"/>
        </w:rPr>
        <w:t xml:space="preserve"> </w:t>
      </w:r>
      <w:r w:rsidR="00CB300E">
        <w:rPr>
          <w:rFonts w:ascii="Arial" w:hAnsi="Arial" w:cs="Arial"/>
        </w:rPr>
        <w:t xml:space="preserve">obsegu </w:t>
      </w:r>
      <w:r w:rsidR="000260CD">
        <w:rPr>
          <w:rFonts w:ascii="Arial" w:hAnsi="Arial" w:cs="Arial"/>
        </w:rPr>
        <w:t>4</w:t>
      </w:r>
      <w:r w:rsidR="00BC73EE">
        <w:rPr>
          <w:rFonts w:ascii="Arial" w:hAnsi="Arial" w:cs="Arial"/>
        </w:rPr>
        <w:t>4</w:t>
      </w:r>
      <w:r w:rsidR="00E92BE3">
        <w:rPr>
          <w:rFonts w:ascii="Arial" w:hAnsi="Arial" w:cs="Arial"/>
        </w:rPr>
        <w:t xml:space="preserve"> % </w:t>
      </w:r>
      <w:r w:rsidR="00CB300E">
        <w:rPr>
          <w:rFonts w:ascii="Arial" w:hAnsi="Arial" w:cs="Arial"/>
        </w:rPr>
        <w:t>vseh prijav.</w:t>
      </w:r>
      <w:r>
        <w:rPr>
          <w:rFonts w:ascii="Arial" w:hAnsi="Arial" w:cs="Arial"/>
        </w:rPr>
        <w:t xml:space="preserve"> Iz navedenega </w:t>
      </w:r>
      <w:r w:rsidR="00F04538">
        <w:rPr>
          <w:rFonts w:ascii="Arial" w:hAnsi="Arial" w:cs="Arial"/>
        </w:rPr>
        <w:t>izhaja</w:t>
      </w:r>
      <w:r>
        <w:rPr>
          <w:rFonts w:ascii="Arial" w:hAnsi="Arial" w:cs="Arial"/>
        </w:rPr>
        <w:t xml:space="preserve">, da </w:t>
      </w:r>
      <w:r w:rsidR="00E92BE3">
        <w:rPr>
          <w:rFonts w:ascii="Arial" w:hAnsi="Arial" w:cs="Arial"/>
        </w:rPr>
        <w:t xml:space="preserve">90 % napak  </w:t>
      </w:r>
      <w:r w:rsidR="00F04538">
        <w:rPr>
          <w:rFonts w:ascii="Arial" w:hAnsi="Arial" w:cs="Arial"/>
        </w:rPr>
        <w:t xml:space="preserve">ni bilo odpravljenih </w:t>
      </w:r>
      <w:r w:rsidR="00E92BE3">
        <w:rPr>
          <w:rFonts w:ascii="Arial" w:hAnsi="Arial" w:cs="Arial"/>
        </w:rPr>
        <w:t>v 24. urah.</w:t>
      </w:r>
      <w:r w:rsidR="00991260">
        <w:rPr>
          <w:rFonts w:ascii="Arial" w:hAnsi="Arial" w:cs="Arial"/>
        </w:rPr>
        <w:t xml:space="preserve"> </w:t>
      </w:r>
      <w:r w:rsidR="00BC73EE">
        <w:rPr>
          <w:rFonts w:ascii="Arial" w:hAnsi="Arial" w:cs="Arial"/>
        </w:rPr>
        <w:t xml:space="preserve">Trend je </w:t>
      </w:r>
      <w:r w:rsidR="00991260">
        <w:rPr>
          <w:rFonts w:ascii="Arial" w:hAnsi="Arial" w:cs="Arial"/>
        </w:rPr>
        <w:t xml:space="preserve"> </w:t>
      </w:r>
      <w:r w:rsidR="00BC73EE">
        <w:rPr>
          <w:rFonts w:ascii="Arial" w:hAnsi="Arial" w:cs="Arial"/>
        </w:rPr>
        <w:t>ne</w:t>
      </w:r>
      <w:r w:rsidR="00991260">
        <w:rPr>
          <w:rFonts w:ascii="Arial" w:hAnsi="Arial" w:cs="Arial"/>
        </w:rPr>
        <w:t xml:space="preserve">ugoden, ker se realizacija </w:t>
      </w:r>
      <w:r w:rsidR="00BC73EE">
        <w:rPr>
          <w:rFonts w:ascii="Arial" w:hAnsi="Arial" w:cs="Arial"/>
        </w:rPr>
        <w:t xml:space="preserve">ne </w:t>
      </w:r>
      <w:r w:rsidR="00991260">
        <w:rPr>
          <w:rFonts w:ascii="Arial" w:hAnsi="Arial" w:cs="Arial"/>
        </w:rPr>
        <w:t xml:space="preserve">približuje ciljni vrednosti. </w:t>
      </w:r>
    </w:p>
    <w:p w:rsidR="004F1146" w:rsidRDefault="004F1146" w:rsidP="004F1146">
      <w:pPr>
        <w:jc w:val="both"/>
        <w:rPr>
          <w:rFonts w:ascii="Arial" w:hAnsi="Arial" w:cs="Arial"/>
        </w:rPr>
      </w:pPr>
    </w:p>
    <w:p w:rsidR="000E792A" w:rsidRPr="002866E3" w:rsidRDefault="004F1146" w:rsidP="004F11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 obrazložitve je možno oceniti, da so bili cilji notranjih procesov v </w:t>
      </w:r>
      <w:r w:rsidR="00E92BE3">
        <w:rPr>
          <w:rFonts w:ascii="Arial" w:hAnsi="Arial" w:cs="Arial"/>
        </w:rPr>
        <w:t xml:space="preserve">povprečju </w:t>
      </w:r>
      <w:r>
        <w:rPr>
          <w:rFonts w:ascii="Arial" w:hAnsi="Arial" w:cs="Arial"/>
        </w:rPr>
        <w:t>doseženi</w:t>
      </w:r>
      <w:r w:rsidR="000E792A">
        <w:rPr>
          <w:rFonts w:ascii="Arial" w:hAnsi="Arial" w:cs="Arial"/>
        </w:rPr>
        <w:t xml:space="preserve"> na </w:t>
      </w:r>
      <w:r w:rsidR="00CB300E">
        <w:rPr>
          <w:rFonts w:ascii="Arial" w:hAnsi="Arial" w:cs="Arial"/>
        </w:rPr>
        <w:t>ustrezni</w:t>
      </w:r>
      <w:r w:rsidR="000E792A">
        <w:rPr>
          <w:rFonts w:ascii="Arial" w:hAnsi="Arial" w:cs="Arial"/>
        </w:rPr>
        <w:t xml:space="preserve"> ravni</w:t>
      </w:r>
      <w:r w:rsidR="00E844C0">
        <w:rPr>
          <w:rFonts w:ascii="Arial" w:hAnsi="Arial" w:cs="Arial"/>
        </w:rPr>
        <w:t>. Nekoliko nižja povprečna realizacija</w:t>
      </w:r>
      <w:r w:rsidR="00CB300E">
        <w:rPr>
          <w:rFonts w:ascii="Arial" w:hAnsi="Arial" w:cs="Arial"/>
        </w:rPr>
        <w:t xml:space="preserve"> pri procesih </w:t>
      </w:r>
      <w:r w:rsidR="00BC73EE">
        <w:rPr>
          <w:rFonts w:ascii="Arial" w:hAnsi="Arial" w:cs="Arial"/>
        </w:rPr>
        <w:t>priskrba virov</w:t>
      </w:r>
      <w:r w:rsidR="0006749A">
        <w:rPr>
          <w:rFonts w:ascii="Arial" w:hAnsi="Arial" w:cs="Arial"/>
        </w:rPr>
        <w:t xml:space="preserve">/nabave, prehrane </w:t>
      </w:r>
      <w:r w:rsidR="00BC73EE">
        <w:rPr>
          <w:rFonts w:ascii="Arial" w:hAnsi="Arial" w:cs="Arial"/>
        </w:rPr>
        <w:t xml:space="preserve"> in vzdrževanje </w:t>
      </w:r>
      <w:r w:rsidR="00CB300E">
        <w:rPr>
          <w:rFonts w:ascii="Arial" w:hAnsi="Arial" w:cs="Arial"/>
        </w:rPr>
        <w:t xml:space="preserve"> </w:t>
      </w:r>
      <w:r w:rsidR="00E844C0">
        <w:rPr>
          <w:rFonts w:ascii="Arial" w:hAnsi="Arial" w:cs="Arial"/>
        </w:rPr>
        <w:t xml:space="preserve"> ni</w:t>
      </w:r>
      <w:r w:rsidR="00CB300E">
        <w:rPr>
          <w:rFonts w:ascii="Arial" w:hAnsi="Arial" w:cs="Arial"/>
        </w:rPr>
        <w:t xml:space="preserve"> </w:t>
      </w:r>
      <w:r w:rsidR="00E844C0">
        <w:rPr>
          <w:rFonts w:ascii="Arial" w:hAnsi="Arial" w:cs="Arial"/>
        </w:rPr>
        <w:t xml:space="preserve"> vplivala na uspešnost in učinkjovitost </w:t>
      </w:r>
      <w:r w:rsidR="00194920">
        <w:rPr>
          <w:rFonts w:ascii="Arial" w:hAnsi="Arial" w:cs="Arial"/>
        </w:rPr>
        <w:t>delovanja notranjih procesov</w:t>
      </w:r>
      <w:r w:rsidR="00DF0654">
        <w:rPr>
          <w:rFonts w:ascii="Arial" w:hAnsi="Arial" w:cs="Arial"/>
        </w:rPr>
        <w:t xml:space="preserve"> i</w:t>
      </w:r>
      <w:r w:rsidR="0006749A">
        <w:rPr>
          <w:rFonts w:ascii="Arial" w:hAnsi="Arial" w:cs="Arial"/>
        </w:rPr>
        <w:t>n</w:t>
      </w:r>
      <w:r w:rsidR="00DF0654">
        <w:rPr>
          <w:rFonts w:ascii="Arial" w:hAnsi="Arial" w:cs="Arial"/>
        </w:rPr>
        <w:t xml:space="preserve"> s tem na izvajanje storitev. </w:t>
      </w:r>
      <w:r>
        <w:rPr>
          <w:rFonts w:ascii="Arial" w:hAnsi="Arial" w:cs="Arial"/>
        </w:rPr>
        <w:t xml:space="preserve"> </w:t>
      </w:r>
      <w:r w:rsidR="00E92BE3">
        <w:rPr>
          <w:rFonts w:ascii="Arial" w:hAnsi="Arial" w:cs="Arial"/>
        </w:rPr>
        <w:t xml:space="preserve">Potrebno </w:t>
      </w:r>
      <w:r w:rsidR="001B6A8E">
        <w:rPr>
          <w:rFonts w:ascii="Arial" w:hAnsi="Arial" w:cs="Arial"/>
        </w:rPr>
        <w:t xml:space="preserve">bo presoditi ali je možno </w:t>
      </w:r>
      <w:r w:rsidR="00E92BE3">
        <w:rPr>
          <w:rFonts w:ascii="Arial" w:hAnsi="Arial" w:cs="Arial"/>
        </w:rPr>
        <w:t xml:space="preserve"> </w:t>
      </w:r>
      <w:r w:rsidR="001B6A8E">
        <w:rPr>
          <w:rFonts w:ascii="Arial" w:hAnsi="Arial" w:cs="Arial"/>
        </w:rPr>
        <w:t xml:space="preserve">povečati </w:t>
      </w:r>
      <w:r w:rsidR="00E92BE3">
        <w:rPr>
          <w:rFonts w:ascii="Arial" w:hAnsi="Arial" w:cs="Arial"/>
        </w:rPr>
        <w:t>uspešnost in učinkovit</w:t>
      </w:r>
      <w:r w:rsidR="001B6A8E">
        <w:rPr>
          <w:rFonts w:ascii="Arial" w:hAnsi="Arial" w:cs="Arial"/>
        </w:rPr>
        <w:t xml:space="preserve">ost </w:t>
      </w:r>
      <w:r w:rsidR="00E92BE3">
        <w:rPr>
          <w:rFonts w:ascii="Arial" w:hAnsi="Arial" w:cs="Arial"/>
        </w:rPr>
        <w:t xml:space="preserve"> vzdrževanja, pri hitrejši odpravi napak, ki se neposredno nanašajo na stanovalce.</w:t>
      </w:r>
    </w:p>
    <w:p w:rsidR="00315CAE" w:rsidRPr="002A52CF" w:rsidRDefault="00315CAE" w:rsidP="002A52CF">
      <w:pPr>
        <w:jc w:val="both"/>
        <w:rPr>
          <w:rFonts w:ascii="Arial" w:hAnsi="Arial" w:cs="Arial"/>
        </w:rPr>
      </w:pPr>
    </w:p>
    <w:p w:rsidR="00775A91" w:rsidRPr="004D0D32" w:rsidRDefault="00D52ADB" w:rsidP="00D52AD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PERSPEKTIVA FINANČNIH SREDSTEV</w:t>
      </w:r>
    </w:p>
    <w:p w:rsidR="00A56D25" w:rsidRPr="004D0D32" w:rsidRDefault="00A56D25" w:rsidP="00A56D25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1810"/>
        <w:gridCol w:w="1765"/>
        <w:gridCol w:w="1898"/>
        <w:gridCol w:w="1706"/>
        <w:gridCol w:w="1687"/>
        <w:gridCol w:w="1687"/>
        <w:gridCol w:w="1687"/>
      </w:tblGrid>
      <w:tr w:rsidR="00374F2A" w:rsidRPr="00301AC2" w:rsidTr="00301AC2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FINANČNI KAZALNIKI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januar- 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januar - 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december</w:t>
            </w:r>
          </w:p>
        </w:tc>
      </w:tr>
      <w:tr w:rsidR="00374F2A" w:rsidRPr="00301AC2" w:rsidTr="00301AC2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od plačnikov storitev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3033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 w:rsidR="00303323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prihodkov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073917" w:rsidP="00D27DAC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A34232" w:rsidRPr="00625BF0" w:rsidRDefault="00A34232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A34232" w:rsidRPr="00625BF0" w:rsidRDefault="00CB300E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E3EB1" w:rsidRPr="00625BF0" w:rsidRDefault="00FE3EB1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E3EB1" w:rsidRPr="00625BF0" w:rsidRDefault="00A0794D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F68F8" w:rsidRPr="00625BF0" w:rsidRDefault="006F68F8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F68F8" w:rsidRPr="00625BF0" w:rsidRDefault="00625BF0" w:rsidP="00D813A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98</w:t>
            </w:r>
          </w:p>
        </w:tc>
      </w:tr>
      <w:tr w:rsidR="00374F2A" w:rsidRPr="00301AC2" w:rsidTr="00301AC2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55196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REALIZACIJA PRIHODKOV  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OSKRBE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plačnikov storitev oskrbe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303323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 w:rsidR="00303323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načrtovanega letnega obsega prihodkov oskrbe</w:t>
            </w:r>
          </w:p>
          <w:p w:rsidR="00885F87" w:rsidRPr="00301AC2" w:rsidRDefault="00885F87" w:rsidP="00A56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073917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A34232" w:rsidRPr="00625BF0" w:rsidRDefault="00A34232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A34232" w:rsidRPr="00625BF0" w:rsidRDefault="00CB300E" w:rsidP="000C4A15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E3EB1" w:rsidRPr="00625BF0" w:rsidRDefault="00FE3EB1" w:rsidP="002E5D7C">
            <w:pPr>
              <w:jc w:val="center"/>
              <w:rPr>
                <w:rFonts w:ascii="Arial" w:hAnsi="Arial" w:cs="Arial"/>
                <w:b/>
              </w:rPr>
            </w:pPr>
          </w:p>
          <w:p w:rsidR="001131AF" w:rsidRPr="00625BF0" w:rsidRDefault="00A0794D" w:rsidP="002E5D7C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25BF0" w:rsidRPr="00625BF0" w:rsidRDefault="00625BF0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25BF0" w:rsidRPr="00625BF0" w:rsidRDefault="00625BF0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99</w:t>
            </w:r>
          </w:p>
          <w:p w:rsidR="005B4A66" w:rsidRPr="00625BF0" w:rsidRDefault="005B4A66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F68F8" w:rsidRPr="00625BF0" w:rsidRDefault="006F68F8" w:rsidP="0059135B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74F2A" w:rsidRPr="00301AC2" w:rsidTr="00301AC2">
        <w:trPr>
          <w:trHeight w:val="994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REALIZACIJA PRIHODKOV ZDRAVSTVENE NEGE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Pridobivanje finančnih sredstev Z</w:t>
            </w:r>
            <w:r w:rsidR="00D52ADB" w:rsidRPr="00301AC2">
              <w:rPr>
                <w:rFonts w:ascii="Arial" w:hAnsi="Arial" w:cs="Arial"/>
                <w:sz w:val="18"/>
                <w:szCs w:val="18"/>
              </w:rPr>
              <w:t>ZZS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Vrednost v </w:t>
            </w:r>
            <w:r w:rsidR="00303323">
              <w:rPr>
                <w:rFonts w:ascii="Arial" w:hAnsi="Arial" w:cs="Arial"/>
                <w:sz w:val="18"/>
                <w:szCs w:val="18"/>
              </w:rPr>
              <w:t>€</w:t>
            </w:r>
          </w:p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5F87" w:rsidRPr="00E92BE3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načrtovanega letnega obsega prihodkov </w:t>
            </w:r>
            <w:r w:rsidR="00E34493" w:rsidRPr="00301AC2">
              <w:rPr>
                <w:rFonts w:ascii="Arial" w:hAnsi="Arial" w:cs="Arial"/>
                <w:sz w:val="18"/>
                <w:szCs w:val="18"/>
              </w:rPr>
              <w:t xml:space="preserve"> zdr. nege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A56D25">
            <w:pPr>
              <w:rPr>
                <w:rFonts w:ascii="Arial" w:hAnsi="Arial" w:cs="Arial"/>
                <w:b/>
              </w:rPr>
            </w:pPr>
          </w:p>
          <w:p w:rsidR="00374F2A" w:rsidRPr="00625BF0" w:rsidRDefault="00374F2A" w:rsidP="00A56D25">
            <w:pPr>
              <w:rPr>
                <w:rFonts w:ascii="Arial" w:hAnsi="Arial" w:cs="Arial"/>
                <w:b/>
              </w:rPr>
            </w:pPr>
          </w:p>
          <w:p w:rsidR="00374F2A" w:rsidRPr="00625BF0" w:rsidRDefault="00073917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A56D25">
            <w:pPr>
              <w:rPr>
                <w:rFonts w:ascii="Arial" w:hAnsi="Arial" w:cs="Arial"/>
                <w:b/>
              </w:rPr>
            </w:pPr>
          </w:p>
          <w:p w:rsidR="00A34232" w:rsidRPr="00625BF0" w:rsidRDefault="00A34232" w:rsidP="00A56D25">
            <w:pPr>
              <w:rPr>
                <w:rFonts w:ascii="Arial" w:hAnsi="Arial" w:cs="Arial"/>
                <w:b/>
              </w:rPr>
            </w:pPr>
          </w:p>
          <w:p w:rsidR="00A34232" w:rsidRPr="00625BF0" w:rsidRDefault="00CB300E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A56D25">
            <w:pPr>
              <w:rPr>
                <w:rFonts w:ascii="Arial" w:hAnsi="Arial" w:cs="Arial"/>
                <w:b/>
              </w:rPr>
            </w:pPr>
          </w:p>
          <w:p w:rsidR="00FE3EB1" w:rsidRPr="00625BF0" w:rsidRDefault="00FE3EB1" w:rsidP="00A56D25">
            <w:pPr>
              <w:rPr>
                <w:rFonts w:ascii="Arial" w:hAnsi="Arial" w:cs="Arial"/>
                <w:b/>
              </w:rPr>
            </w:pPr>
          </w:p>
          <w:p w:rsidR="00FE3EB1" w:rsidRPr="00625BF0" w:rsidRDefault="00A0794D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74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A56D25">
            <w:pPr>
              <w:rPr>
                <w:rFonts w:ascii="Arial" w:hAnsi="Arial" w:cs="Arial"/>
                <w:b/>
                <w:highlight w:val="yellow"/>
              </w:rPr>
            </w:pPr>
          </w:p>
          <w:p w:rsidR="006275D2" w:rsidRPr="00625BF0" w:rsidRDefault="006275D2" w:rsidP="006275D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F68F8" w:rsidRPr="00625BF0" w:rsidRDefault="00625BF0" w:rsidP="00D27DAC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100</w:t>
            </w:r>
          </w:p>
        </w:tc>
      </w:tr>
      <w:tr w:rsidR="00374F2A" w:rsidRPr="00301AC2" w:rsidTr="00301AC2">
        <w:trPr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RAVNANJE S FINANČNIMI SREDSTVI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Presežek prihodkov nad odhodki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</w:p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Realizacija prihodkov v primerjavi z odhodki</w:t>
            </w:r>
            <w:r w:rsidR="00E34493" w:rsidRPr="00301AC2">
              <w:rPr>
                <w:rFonts w:ascii="Arial" w:hAnsi="Arial" w:cs="Arial"/>
                <w:sz w:val="18"/>
                <w:szCs w:val="18"/>
              </w:rPr>
              <w:t>:  indeks = (prih / odh)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301AC2" w:rsidRDefault="00374F2A" w:rsidP="00A56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A56D25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Indeks (Ix) je enak ali večji od 1,00</w:t>
            </w:r>
          </w:p>
          <w:p w:rsidR="00374F2A" w:rsidRPr="00301AC2" w:rsidRDefault="00374F2A" w:rsidP="00A56D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374F2A" w:rsidRPr="00625BF0" w:rsidRDefault="00073917" w:rsidP="000E792A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107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A34232" w:rsidRPr="00625BF0" w:rsidRDefault="00A34232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A34232" w:rsidRPr="00625BF0" w:rsidRDefault="00CB300E" w:rsidP="000C4A15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104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E3EB1" w:rsidRPr="00625BF0" w:rsidRDefault="00FE3EB1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FE3EB1" w:rsidRPr="00625BF0" w:rsidRDefault="00A0794D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F2A" w:rsidRPr="00625BF0" w:rsidRDefault="00374F2A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F68F8" w:rsidRPr="00625BF0" w:rsidRDefault="006F68F8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E9380B" w:rsidRPr="00625BF0" w:rsidRDefault="00625BF0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101</w:t>
            </w:r>
          </w:p>
        </w:tc>
      </w:tr>
    </w:tbl>
    <w:p w:rsidR="00D01DB2" w:rsidRPr="00545477" w:rsidRDefault="00D01DB2" w:rsidP="008B2A63">
      <w:pPr>
        <w:rPr>
          <w:rFonts w:ascii="Arial" w:hAnsi="Arial" w:cs="Arial"/>
        </w:rPr>
      </w:pPr>
    </w:p>
    <w:p w:rsidR="00DB640B" w:rsidRPr="00097B5A" w:rsidRDefault="00DB640B" w:rsidP="000C4A15">
      <w:pPr>
        <w:jc w:val="center"/>
        <w:rPr>
          <w:rFonts w:ascii="Arial" w:hAnsi="Arial" w:cs="Arial"/>
          <w:b/>
        </w:rPr>
      </w:pPr>
    </w:p>
    <w:p w:rsidR="008B2A63" w:rsidRPr="005B4A66" w:rsidRDefault="008B2A63" w:rsidP="005B4A66">
      <w:pPr>
        <w:jc w:val="center"/>
        <w:rPr>
          <w:rFonts w:ascii="Arial" w:hAnsi="Arial" w:cs="Arial"/>
          <w:b/>
        </w:rPr>
      </w:pPr>
    </w:p>
    <w:p w:rsidR="0045590D" w:rsidRDefault="00625BF0" w:rsidP="00894639">
      <w:pPr>
        <w:rPr>
          <w:rFonts w:ascii="Arial" w:hAnsi="Arial" w:cs="Arial"/>
          <w:b/>
        </w:rPr>
      </w:pPr>
      <w:r w:rsidRPr="00625BF0">
        <w:rPr>
          <w:rFonts w:ascii="Arial" w:hAnsi="Arial" w:cs="Arial"/>
          <w:b/>
        </w:rPr>
        <w:lastRenderedPageBreak/>
        <w:drawing>
          <wp:inline distT="0" distB="0" distL="0" distR="0">
            <wp:extent cx="8953500" cy="2047875"/>
            <wp:effectExtent l="19050" t="0" r="19050" b="0"/>
            <wp:docPr id="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2CA5" w:rsidRDefault="00D22CA5" w:rsidP="000B02CF">
      <w:pPr>
        <w:rPr>
          <w:rFonts w:ascii="Arial" w:hAnsi="Arial" w:cs="Arial"/>
          <w:b/>
          <w:sz w:val="16"/>
          <w:szCs w:val="16"/>
        </w:rPr>
      </w:pPr>
    </w:p>
    <w:p w:rsidR="000E792A" w:rsidRDefault="000E792A" w:rsidP="000B02CF">
      <w:pPr>
        <w:rPr>
          <w:rFonts w:ascii="Arial" w:hAnsi="Arial" w:cs="Arial"/>
          <w:b/>
          <w:sz w:val="16"/>
          <w:szCs w:val="16"/>
        </w:rPr>
      </w:pPr>
    </w:p>
    <w:p w:rsidR="000E792A" w:rsidRDefault="000E792A" w:rsidP="000B02CF">
      <w:pPr>
        <w:rPr>
          <w:rFonts w:ascii="Arial" w:hAnsi="Arial" w:cs="Arial"/>
          <w:b/>
          <w:sz w:val="16"/>
          <w:szCs w:val="16"/>
        </w:rPr>
      </w:pPr>
    </w:p>
    <w:p w:rsidR="000B02CF" w:rsidRPr="000B02CF" w:rsidRDefault="000B02CF" w:rsidP="000B02CF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Legenda: </w:t>
      </w:r>
    </w:p>
    <w:p w:rsidR="000B02CF" w:rsidRPr="000B02CF" w:rsidRDefault="00F927E3" w:rsidP="000B02C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 id="_x0000_s1033" type="#_x0000_t5" style="position:absolute;margin-left:-3.4pt;margin-top:10.05pt;width:12.75pt;height:12.75pt;z-index:251658240" fillcolor="#00b050" strokecolor="white"/>
        </w:pict>
      </w:r>
      <w:r w:rsidR="000B02CF" w:rsidRPr="000B02CF">
        <w:rPr>
          <w:rFonts w:ascii="Arial" w:hAnsi="Arial" w:cs="Arial"/>
          <w:b/>
          <w:sz w:val="16"/>
          <w:szCs w:val="16"/>
        </w:rPr>
        <w:t xml:space="preserve">    </w:t>
      </w:r>
    </w:p>
    <w:p w:rsidR="000B02CF" w:rsidRPr="000B02CF" w:rsidRDefault="000B02CF" w:rsidP="000B02CF">
      <w:pPr>
        <w:rPr>
          <w:rFonts w:ascii="Arial" w:hAnsi="Arial" w:cs="Arial"/>
          <w:sz w:val="16"/>
          <w:szCs w:val="16"/>
        </w:rPr>
      </w:pPr>
      <w:r w:rsidRPr="000B02CF">
        <w:rPr>
          <w:rFonts w:ascii="Arial" w:hAnsi="Arial" w:cs="Arial"/>
          <w:sz w:val="16"/>
          <w:szCs w:val="16"/>
        </w:rPr>
        <w:t xml:space="preserve">     = cilj (standard) </w:t>
      </w:r>
      <w:r>
        <w:rPr>
          <w:rFonts w:ascii="Arial" w:hAnsi="Arial" w:cs="Arial"/>
          <w:sz w:val="16"/>
          <w:szCs w:val="16"/>
        </w:rPr>
        <w:t xml:space="preserve"> JE </w:t>
      </w:r>
      <w:r w:rsidRPr="000B02CF">
        <w:rPr>
          <w:rFonts w:ascii="Arial" w:hAnsi="Arial" w:cs="Arial"/>
          <w:sz w:val="16"/>
          <w:szCs w:val="16"/>
        </w:rPr>
        <w:t xml:space="preserve">dosežen </w:t>
      </w:r>
    </w:p>
    <w:p w:rsidR="000B02CF" w:rsidRPr="000B02CF" w:rsidRDefault="00F927E3" w:rsidP="000B02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34" type="#_x0000_t4" style="position:absolute;margin-left:-4.15pt;margin-top:8.05pt;width:13.5pt;height:12pt;z-index:251659264" fillcolor="red" strokecolor="white"/>
        </w:pict>
      </w:r>
    </w:p>
    <w:p w:rsidR="000B02CF" w:rsidRPr="000B02CF" w:rsidRDefault="000B02CF" w:rsidP="000B02CF">
      <w:pPr>
        <w:rPr>
          <w:rFonts w:ascii="Arial" w:hAnsi="Arial" w:cs="Arial"/>
          <w:sz w:val="16"/>
          <w:szCs w:val="16"/>
        </w:rPr>
      </w:pPr>
      <w:r w:rsidRPr="000B02CF">
        <w:rPr>
          <w:rFonts w:ascii="Arial" w:hAnsi="Arial" w:cs="Arial"/>
          <w:sz w:val="16"/>
          <w:szCs w:val="16"/>
        </w:rPr>
        <w:t xml:space="preserve">     = </w:t>
      </w:r>
      <w:r>
        <w:rPr>
          <w:rFonts w:ascii="Arial" w:hAnsi="Arial" w:cs="Arial"/>
          <w:sz w:val="16"/>
          <w:szCs w:val="16"/>
        </w:rPr>
        <w:t xml:space="preserve">cilj (standard)  NI  </w:t>
      </w:r>
      <w:r w:rsidRPr="000B02CF">
        <w:rPr>
          <w:rFonts w:ascii="Arial" w:hAnsi="Arial" w:cs="Arial"/>
          <w:sz w:val="16"/>
          <w:szCs w:val="16"/>
        </w:rPr>
        <w:t>dosežen</w:t>
      </w:r>
    </w:p>
    <w:p w:rsidR="005B4A66" w:rsidRDefault="005B4A66" w:rsidP="00930A0F">
      <w:pPr>
        <w:rPr>
          <w:rFonts w:ascii="Arial" w:hAnsi="Arial" w:cs="Arial"/>
          <w:b/>
        </w:rPr>
      </w:pPr>
    </w:p>
    <w:p w:rsidR="00315CAE" w:rsidRDefault="00315CAE" w:rsidP="00930A0F">
      <w:pPr>
        <w:rPr>
          <w:rFonts w:ascii="Arial" w:hAnsi="Arial" w:cs="Arial"/>
          <w:b/>
        </w:rPr>
      </w:pPr>
    </w:p>
    <w:p w:rsidR="00930A0F" w:rsidRPr="004D0D32" w:rsidRDefault="00930A0F" w:rsidP="00930A0F">
      <w:pPr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 xml:space="preserve">Obrazložitev: </w:t>
      </w:r>
    </w:p>
    <w:p w:rsidR="00BA444A" w:rsidRDefault="00BA444A" w:rsidP="004D0D32">
      <w:pPr>
        <w:rPr>
          <w:rFonts w:ascii="Arial" w:hAnsi="Arial" w:cs="Arial"/>
          <w:b/>
          <w:sz w:val="22"/>
          <w:szCs w:val="22"/>
        </w:rPr>
      </w:pPr>
    </w:p>
    <w:p w:rsidR="001C324F" w:rsidRDefault="00885F87" w:rsidP="006D62C1">
      <w:pPr>
        <w:jc w:val="both"/>
        <w:rPr>
          <w:rFonts w:ascii="Arial" w:hAnsi="Arial" w:cs="Arial"/>
        </w:rPr>
      </w:pPr>
      <w:r w:rsidRPr="00885F87">
        <w:rPr>
          <w:rFonts w:ascii="Arial" w:hAnsi="Arial" w:cs="Arial"/>
        </w:rPr>
        <w:t xml:space="preserve">Cilji ravnanja </w:t>
      </w:r>
      <w:r w:rsidR="00991260">
        <w:rPr>
          <w:rFonts w:ascii="Arial" w:hAnsi="Arial" w:cs="Arial"/>
        </w:rPr>
        <w:t xml:space="preserve">s finančnimi sredstvi so bili </w:t>
      </w:r>
      <w:r w:rsidR="00CB300E">
        <w:rPr>
          <w:rFonts w:ascii="Arial" w:hAnsi="Arial" w:cs="Arial"/>
        </w:rPr>
        <w:t xml:space="preserve">v celoti </w:t>
      </w:r>
      <w:r w:rsidRPr="00885F87">
        <w:rPr>
          <w:rFonts w:ascii="Arial" w:hAnsi="Arial" w:cs="Arial"/>
        </w:rPr>
        <w:t xml:space="preserve">doseženi. </w:t>
      </w:r>
      <w:r>
        <w:rPr>
          <w:rFonts w:ascii="Arial" w:hAnsi="Arial" w:cs="Arial"/>
        </w:rPr>
        <w:t xml:space="preserve">Celotni prihodki </w:t>
      </w:r>
      <w:r w:rsidR="0006749A">
        <w:rPr>
          <w:rFonts w:ascii="Arial" w:hAnsi="Arial" w:cs="Arial"/>
        </w:rPr>
        <w:t>so bil realizirani 1 % nad planom. P</w:t>
      </w:r>
      <w:r>
        <w:rPr>
          <w:rFonts w:ascii="Arial" w:hAnsi="Arial" w:cs="Arial"/>
        </w:rPr>
        <w:t>rihodki</w:t>
      </w:r>
      <w:r w:rsidR="00BD14C2">
        <w:rPr>
          <w:rFonts w:ascii="Arial" w:hAnsi="Arial" w:cs="Arial"/>
        </w:rPr>
        <w:t xml:space="preserve"> storitev oskrbe  </w:t>
      </w:r>
      <w:r w:rsidR="0006749A">
        <w:rPr>
          <w:rFonts w:ascii="Arial" w:hAnsi="Arial" w:cs="Arial"/>
        </w:rPr>
        <w:t xml:space="preserve">in </w:t>
      </w:r>
      <w:r w:rsidR="00CB300E">
        <w:rPr>
          <w:rFonts w:ascii="Arial" w:hAnsi="Arial" w:cs="Arial"/>
        </w:rPr>
        <w:t xml:space="preserve"> zdravstvene nege</w:t>
      </w:r>
      <w:r>
        <w:rPr>
          <w:rFonts w:ascii="Arial" w:hAnsi="Arial" w:cs="Arial"/>
        </w:rPr>
        <w:t xml:space="preserve"> </w:t>
      </w:r>
      <w:r w:rsidR="00991260">
        <w:rPr>
          <w:rFonts w:ascii="Arial" w:hAnsi="Arial" w:cs="Arial"/>
        </w:rPr>
        <w:t xml:space="preserve">so bili </w:t>
      </w:r>
      <w:r w:rsidR="0006749A">
        <w:rPr>
          <w:rFonts w:ascii="Arial" w:hAnsi="Arial" w:cs="Arial"/>
        </w:rPr>
        <w:t xml:space="preserve">v okviru planiranega obsega. </w:t>
      </w:r>
      <w:r w:rsidR="00A3166B">
        <w:rPr>
          <w:rFonts w:ascii="Arial" w:hAnsi="Arial" w:cs="Arial"/>
        </w:rPr>
        <w:t>.</w:t>
      </w:r>
      <w:r w:rsidR="00DF0654">
        <w:rPr>
          <w:rFonts w:ascii="Arial" w:hAnsi="Arial" w:cs="Arial"/>
        </w:rPr>
        <w:t xml:space="preserve"> </w:t>
      </w:r>
      <w:r w:rsidR="00BD1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Razmerje med prihodki in odhodki pokaže, da je bilo ustvarjenih</w:t>
      </w:r>
      <w:r w:rsidR="00991260">
        <w:rPr>
          <w:rFonts w:ascii="Arial" w:hAnsi="Arial" w:cs="Arial"/>
        </w:rPr>
        <w:t xml:space="preserve"> </w:t>
      </w:r>
      <w:r w:rsidR="00CB300E">
        <w:rPr>
          <w:rFonts w:ascii="Arial" w:hAnsi="Arial" w:cs="Arial"/>
        </w:rPr>
        <w:t xml:space="preserve">za </w:t>
      </w:r>
      <w:r w:rsidR="0006749A">
        <w:rPr>
          <w:rFonts w:ascii="Arial" w:hAnsi="Arial" w:cs="Arial"/>
        </w:rPr>
        <w:t>1</w:t>
      </w:r>
      <w:r w:rsidR="00CB3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več prihodkov, kot so znašali </w:t>
      </w:r>
      <w:r w:rsidR="00DF0654">
        <w:rPr>
          <w:rFonts w:ascii="Arial" w:hAnsi="Arial" w:cs="Arial"/>
        </w:rPr>
        <w:t>odhodki.</w:t>
      </w:r>
    </w:p>
    <w:p w:rsidR="00885F87" w:rsidRDefault="00885F87" w:rsidP="006D62C1">
      <w:pPr>
        <w:jc w:val="both"/>
        <w:rPr>
          <w:rFonts w:ascii="Arial" w:hAnsi="Arial" w:cs="Arial"/>
        </w:rPr>
      </w:pPr>
    </w:p>
    <w:p w:rsidR="00991260" w:rsidRDefault="00885F87" w:rsidP="006D62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 navedenega je možno oceniti, da je bilo ravnanje s finančnimi sredstvi uspešno in učinkovito</w:t>
      </w:r>
      <w:r w:rsidR="006D62C1">
        <w:rPr>
          <w:rFonts w:ascii="Arial" w:hAnsi="Arial" w:cs="Arial"/>
        </w:rPr>
        <w:t xml:space="preserve">. Spremljanje omogoča uavnavanje odhodkov s prihodki in ustrezno ukrepanje, ko bi odhodki nakazovali trend prekoračitve prihodkov. Navedeni način spremljanja in ukrepanja zagotavlja uravnoteženost  letnega finančnega načrta.  </w:t>
      </w:r>
    </w:p>
    <w:p w:rsidR="00315CAE" w:rsidRDefault="00315CAE" w:rsidP="006D62C1">
      <w:pPr>
        <w:jc w:val="both"/>
        <w:rPr>
          <w:rFonts w:ascii="Arial" w:hAnsi="Arial" w:cs="Arial"/>
        </w:rPr>
      </w:pPr>
    </w:p>
    <w:p w:rsidR="00315CAE" w:rsidRDefault="00315CAE" w:rsidP="004D0D32">
      <w:pPr>
        <w:rPr>
          <w:rFonts w:ascii="Arial" w:hAnsi="Arial" w:cs="Arial"/>
        </w:rPr>
      </w:pPr>
    </w:p>
    <w:p w:rsidR="00315CAE" w:rsidRDefault="00315CAE" w:rsidP="004D0D32">
      <w:pPr>
        <w:rPr>
          <w:rFonts w:ascii="Arial" w:hAnsi="Arial" w:cs="Arial"/>
        </w:rPr>
      </w:pPr>
    </w:p>
    <w:p w:rsidR="00315CAE" w:rsidRDefault="00315CAE" w:rsidP="004D0D32">
      <w:pPr>
        <w:rPr>
          <w:rFonts w:ascii="Arial" w:hAnsi="Arial" w:cs="Arial"/>
        </w:rPr>
      </w:pPr>
    </w:p>
    <w:p w:rsidR="00315CAE" w:rsidRDefault="00315CAE" w:rsidP="004D0D32">
      <w:pPr>
        <w:rPr>
          <w:rFonts w:ascii="Arial" w:hAnsi="Arial" w:cs="Arial"/>
        </w:rPr>
      </w:pPr>
    </w:p>
    <w:p w:rsidR="001B6A8E" w:rsidRDefault="001B6A8E" w:rsidP="004D0D32">
      <w:pPr>
        <w:rPr>
          <w:rFonts w:ascii="Arial" w:hAnsi="Arial" w:cs="Arial"/>
        </w:rPr>
      </w:pPr>
    </w:p>
    <w:p w:rsidR="00315CAE" w:rsidRDefault="00315CAE" w:rsidP="004D0D32">
      <w:pPr>
        <w:rPr>
          <w:rFonts w:ascii="Arial" w:hAnsi="Arial" w:cs="Arial"/>
        </w:rPr>
      </w:pPr>
    </w:p>
    <w:p w:rsidR="00CB300E" w:rsidRDefault="00CB300E" w:rsidP="004D0D32">
      <w:pPr>
        <w:rPr>
          <w:rFonts w:ascii="Arial" w:hAnsi="Arial" w:cs="Arial"/>
        </w:rPr>
      </w:pPr>
    </w:p>
    <w:p w:rsidR="00CB300E" w:rsidRPr="00885F87" w:rsidRDefault="00CB300E" w:rsidP="004D0D32">
      <w:pPr>
        <w:rPr>
          <w:rFonts w:ascii="Arial" w:hAnsi="Arial" w:cs="Arial"/>
        </w:rPr>
      </w:pPr>
    </w:p>
    <w:p w:rsidR="00106747" w:rsidRPr="004D0D32" w:rsidRDefault="00106747" w:rsidP="004D0D32">
      <w:pPr>
        <w:rPr>
          <w:rFonts w:ascii="Arial" w:hAnsi="Arial" w:cs="Arial"/>
          <w:b/>
          <w:sz w:val="22"/>
          <w:szCs w:val="22"/>
        </w:rPr>
      </w:pPr>
    </w:p>
    <w:p w:rsidR="00D52ADB" w:rsidRPr="004D0D32" w:rsidRDefault="00775A91" w:rsidP="00D52ADB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4D0D32">
        <w:rPr>
          <w:rFonts w:ascii="Arial" w:hAnsi="Arial" w:cs="Arial"/>
          <w:b/>
          <w:sz w:val="22"/>
          <w:szCs w:val="22"/>
        </w:rPr>
        <w:t>UČENJE IN RA</w:t>
      </w:r>
      <w:r w:rsidR="00D52ADB" w:rsidRPr="004D0D32">
        <w:rPr>
          <w:rFonts w:ascii="Arial" w:hAnsi="Arial" w:cs="Arial"/>
          <w:b/>
          <w:sz w:val="22"/>
          <w:szCs w:val="22"/>
        </w:rPr>
        <w:t>ST</w:t>
      </w:r>
    </w:p>
    <w:p w:rsidR="00D52ADB" w:rsidRPr="004D0D32" w:rsidRDefault="00D52ADB" w:rsidP="00D52AD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1912"/>
        <w:gridCol w:w="1922"/>
        <w:gridCol w:w="1922"/>
        <w:gridCol w:w="1714"/>
        <w:gridCol w:w="1549"/>
        <w:gridCol w:w="1549"/>
        <w:gridCol w:w="1549"/>
      </w:tblGrid>
      <w:tr w:rsidR="00374F2A" w:rsidRPr="00301AC2" w:rsidTr="00301AC2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A82443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KAZALNIKI UČENJA IN RA</w:t>
            </w:r>
            <w:r w:rsidR="00374F2A" w:rsidRPr="00301AC2">
              <w:rPr>
                <w:rFonts w:ascii="Arial" w:hAnsi="Arial" w:cs="Arial"/>
                <w:b/>
                <w:sz w:val="18"/>
                <w:szCs w:val="18"/>
              </w:rPr>
              <w:t>STI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SMOTRI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MERILA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STANDARDI USPEŠNOSTI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 xml:space="preserve">Realizacija </w:t>
            </w:r>
            <w:r w:rsidRPr="00301AC2">
              <w:rPr>
                <w:rFonts w:ascii="Arial" w:hAnsi="Arial" w:cs="Arial"/>
                <w:b/>
                <w:sz w:val="18"/>
                <w:szCs w:val="18"/>
              </w:rPr>
              <w:br/>
              <w:t>januar -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marec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junij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</w:rPr>
              <w:t>januar - september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Realizacija</w:t>
            </w:r>
          </w:p>
          <w:p w:rsidR="00374F2A" w:rsidRPr="00301AC2" w:rsidRDefault="00374F2A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01AC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januar - december</w:t>
            </w:r>
          </w:p>
        </w:tc>
      </w:tr>
      <w:tr w:rsidR="00036E6C" w:rsidRPr="00301AC2" w:rsidTr="00036E6C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ŠTEVILO DELAVCEV</w:t>
            </w:r>
          </w:p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normativov obsega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realizacije načrtovanega letnega števila delavcev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073917" w:rsidP="00DE16D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036E6C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036E6C" w:rsidP="00036E6C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6D62C1" w:rsidP="00036E6C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A0794D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625BF0" w:rsidRPr="00625BF0" w:rsidRDefault="00625BF0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98</w:t>
            </w: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036E6C" w:rsidRPr="00301AC2" w:rsidTr="00036E6C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STRUKTURA ZAPOSLENIH</w:t>
            </w:r>
          </w:p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Izpolnjevanje kadrovskih  normativov strukture zaposlenih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% ustrezno strokovno usposobljenih delavcev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95 % ustrezno strokovno usposobljenih delavcev</w:t>
            </w: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073917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036E6C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036E6C" w:rsidP="00036E6C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6D62C1" w:rsidP="00036E6C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A0794D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99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6F68F8">
            <w:pPr>
              <w:rPr>
                <w:rFonts w:ascii="Arial" w:hAnsi="Arial" w:cs="Arial"/>
                <w:b/>
                <w:highlight w:val="yellow"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036E6C" w:rsidRPr="00625BF0" w:rsidRDefault="00625BF0" w:rsidP="00625BF0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99</w:t>
            </w:r>
          </w:p>
        </w:tc>
      </w:tr>
      <w:tr w:rsidR="00036E6C" w:rsidRPr="00301AC2" w:rsidTr="00A3166B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DODATNO STROKOVNO IZPOPOLNJEVANJE </w:t>
            </w:r>
          </w:p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Dvig strokovne usposobljenosti zaposlenih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Število ur dodatnega strokovnega izpopolnjevanja na zaposlenega</w:t>
            </w: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100 % realizacija letnega načrtovanega števila ur dodatnega strokovnega izpopolnjevanja na zaposlenega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E6C" w:rsidRPr="00625BF0" w:rsidRDefault="00036E6C" w:rsidP="00A3166B">
            <w:pPr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 xml:space="preserve"> </w:t>
            </w:r>
          </w:p>
          <w:p w:rsidR="00036E6C" w:rsidRPr="00625BF0" w:rsidRDefault="00073917" w:rsidP="0059135B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6E6C" w:rsidRPr="00625BF0" w:rsidRDefault="00036E6C" w:rsidP="00A3166B">
            <w:pPr>
              <w:rPr>
                <w:rFonts w:ascii="Arial" w:hAnsi="Arial" w:cs="Arial"/>
                <w:b/>
              </w:rPr>
            </w:pPr>
          </w:p>
          <w:p w:rsidR="00036E6C" w:rsidRPr="00625BF0" w:rsidRDefault="006D62C1" w:rsidP="00A3166B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66B" w:rsidRPr="00625BF0" w:rsidRDefault="00A3166B" w:rsidP="00A3166B">
            <w:pPr>
              <w:rPr>
                <w:rFonts w:ascii="Arial" w:hAnsi="Arial" w:cs="Arial"/>
                <w:b/>
              </w:rPr>
            </w:pPr>
          </w:p>
          <w:p w:rsidR="00036E6C" w:rsidRPr="00625BF0" w:rsidRDefault="00A0794D" w:rsidP="00073917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036E6C" w:rsidRPr="00625BF0" w:rsidRDefault="00625BF0" w:rsidP="0007391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76</w:t>
            </w:r>
          </w:p>
        </w:tc>
      </w:tr>
      <w:tr w:rsidR="00036E6C" w:rsidRPr="00301AC2" w:rsidTr="00036E6C">
        <w:trPr>
          <w:jc w:val="center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AC2">
              <w:rPr>
                <w:rFonts w:ascii="Arial" w:hAnsi="Arial" w:cs="Arial"/>
                <w:b/>
                <w:i/>
                <w:sz w:val="18"/>
                <w:szCs w:val="18"/>
              </w:rPr>
              <w:t>FINANČNA SREDSTVA ZA STROKOVNO IZPOPOLNJEVANJE</w:t>
            </w:r>
          </w:p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>Nenehno učenje in rast zaposlenih preko učeče se organizacije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30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E6C" w:rsidRPr="00301AC2" w:rsidRDefault="00036E6C" w:rsidP="0006749A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Obseg  finančnih sredstev za nenehno učenje in rast, v </w:t>
            </w:r>
            <w:r w:rsidR="0006749A">
              <w:rPr>
                <w:rFonts w:ascii="Arial" w:hAnsi="Arial" w:cs="Arial"/>
                <w:sz w:val="18"/>
                <w:szCs w:val="18"/>
              </w:rPr>
              <w:t xml:space="preserve">€ </w:t>
            </w:r>
            <w:r w:rsidRPr="00301AC2">
              <w:rPr>
                <w:rFonts w:ascii="Arial" w:hAnsi="Arial" w:cs="Arial"/>
                <w:sz w:val="18"/>
                <w:szCs w:val="18"/>
              </w:rPr>
              <w:t>na zaposlenega delavca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</w:p>
          <w:p w:rsidR="00036E6C" w:rsidRPr="00301AC2" w:rsidRDefault="00036E6C" w:rsidP="00D52ADB">
            <w:pPr>
              <w:rPr>
                <w:rFonts w:ascii="Arial" w:hAnsi="Arial" w:cs="Arial"/>
                <w:sz w:val="18"/>
                <w:szCs w:val="18"/>
              </w:rPr>
            </w:pPr>
            <w:r w:rsidRPr="00301AC2">
              <w:rPr>
                <w:rFonts w:ascii="Arial" w:hAnsi="Arial" w:cs="Arial"/>
                <w:sz w:val="18"/>
                <w:szCs w:val="18"/>
              </w:rPr>
              <w:t xml:space="preserve">100 % realizacija letnega načrtovanega obsega sredstev  za nenehno učenje in rast na zaposlenega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625BF0" w:rsidRPr="00625BF0" w:rsidRDefault="00625BF0" w:rsidP="00625BF0">
            <w:pPr>
              <w:rPr>
                <w:rFonts w:ascii="Arial" w:hAnsi="Arial" w:cs="Arial"/>
                <w:b/>
              </w:rPr>
            </w:pPr>
          </w:p>
          <w:p w:rsidR="00036E6C" w:rsidRPr="00625BF0" w:rsidRDefault="00073917" w:rsidP="00625BF0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036E6C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036E6C" w:rsidP="00036E6C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036E6C" w:rsidP="00036E6C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6D62C1" w:rsidP="00036E6C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FE3EB1">
            <w:pPr>
              <w:rPr>
                <w:rFonts w:ascii="Arial" w:hAnsi="Arial" w:cs="Arial"/>
                <w:b/>
              </w:rPr>
            </w:pPr>
          </w:p>
          <w:p w:rsidR="00036E6C" w:rsidRPr="00625BF0" w:rsidRDefault="00036E6C" w:rsidP="00FE3EB1">
            <w:pPr>
              <w:rPr>
                <w:rFonts w:ascii="Arial" w:hAnsi="Arial" w:cs="Arial"/>
                <w:b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</w:rPr>
            </w:pPr>
          </w:p>
          <w:p w:rsidR="00036E6C" w:rsidRPr="00625BF0" w:rsidRDefault="00A0794D" w:rsidP="00301AC2">
            <w:pPr>
              <w:jc w:val="center"/>
              <w:rPr>
                <w:rFonts w:ascii="Arial" w:hAnsi="Arial" w:cs="Arial"/>
                <w:b/>
              </w:rPr>
            </w:pPr>
            <w:r w:rsidRPr="00625BF0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036E6C" w:rsidRPr="00625BF0" w:rsidRDefault="00036E6C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:rsidR="00036E6C" w:rsidRPr="00625BF0" w:rsidRDefault="00625BF0" w:rsidP="00301AC2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625BF0">
              <w:rPr>
                <w:rFonts w:ascii="Arial" w:hAnsi="Arial" w:cs="Arial"/>
                <w:b/>
                <w:highlight w:val="yellow"/>
              </w:rPr>
              <w:t>58</w:t>
            </w:r>
          </w:p>
        </w:tc>
      </w:tr>
    </w:tbl>
    <w:p w:rsidR="003C4A8A" w:rsidRPr="004D0D32" w:rsidRDefault="003C4A8A" w:rsidP="00A82443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3C4A8A" w:rsidRPr="00097B5A" w:rsidRDefault="003C4A8A" w:rsidP="00E13DEA">
      <w:pPr>
        <w:tabs>
          <w:tab w:val="left" w:pos="1590"/>
        </w:tabs>
        <w:jc w:val="center"/>
        <w:rPr>
          <w:rFonts w:ascii="Arial" w:hAnsi="Arial" w:cs="Arial"/>
          <w:b/>
        </w:rPr>
      </w:pPr>
    </w:p>
    <w:p w:rsidR="0045590D" w:rsidRPr="00756FDD" w:rsidRDefault="00625BF0" w:rsidP="00756FDD">
      <w:pPr>
        <w:tabs>
          <w:tab w:val="left" w:pos="1590"/>
        </w:tabs>
        <w:jc w:val="center"/>
        <w:rPr>
          <w:rFonts w:ascii="Arial" w:hAnsi="Arial" w:cs="Arial"/>
          <w:b/>
        </w:rPr>
      </w:pPr>
      <w:r w:rsidRPr="00625BF0">
        <w:rPr>
          <w:rFonts w:ascii="Arial" w:hAnsi="Arial" w:cs="Arial"/>
          <w:b/>
        </w:rPr>
        <w:lastRenderedPageBreak/>
        <w:drawing>
          <wp:inline distT="0" distB="0" distL="0" distR="0">
            <wp:extent cx="8705850" cy="2009775"/>
            <wp:effectExtent l="19050" t="0" r="19050" b="0"/>
            <wp:docPr id="11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5554" w:rsidRDefault="00775554" w:rsidP="00A02E74">
      <w:pPr>
        <w:tabs>
          <w:tab w:val="left" w:pos="1590"/>
        </w:tabs>
        <w:jc w:val="center"/>
        <w:rPr>
          <w:rFonts w:ascii="Arial" w:hAnsi="Arial" w:cs="Arial"/>
          <w:b/>
          <w:noProof/>
        </w:rPr>
      </w:pPr>
    </w:p>
    <w:p w:rsidR="00073917" w:rsidRDefault="00073917" w:rsidP="00DF30F7">
      <w:pPr>
        <w:tabs>
          <w:tab w:val="left" w:pos="1590"/>
        </w:tabs>
        <w:rPr>
          <w:rFonts w:ascii="Arial" w:hAnsi="Arial" w:cs="Arial"/>
          <w:b/>
        </w:rPr>
      </w:pPr>
    </w:p>
    <w:p w:rsidR="00D22CA5" w:rsidRDefault="00D22CA5" w:rsidP="00C857F9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B02CF" w:rsidRPr="000B02CF" w:rsidRDefault="000B02CF" w:rsidP="000B02CF">
      <w:pPr>
        <w:rPr>
          <w:rFonts w:ascii="Arial" w:hAnsi="Arial" w:cs="Arial"/>
          <w:b/>
          <w:sz w:val="16"/>
          <w:szCs w:val="16"/>
        </w:rPr>
      </w:pPr>
      <w:r w:rsidRPr="000B02CF">
        <w:rPr>
          <w:rFonts w:ascii="Arial" w:hAnsi="Arial" w:cs="Arial"/>
          <w:b/>
          <w:sz w:val="16"/>
          <w:szCs w:val="16"/>
        </w:rPr>
        <w:t xml:space="preserve">Legenda: </w:t>
      </w:r>
    </w:p>
    <w:p w:rsidR="000B02CF" w:rsidRPr="000B02CF" w:rsidRDefault="00F927E3" w:rsidP="000B02C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pict>
          <v:shape id="_x0000_s1035" type="#_x0000_t5" style="position:absolute;margin-left:-3.4pt;margin-top:10.05pt;width:12.75pt;height:12.75pt;z-index:251660288" fillcolor="#00b050" strokecolor="white"/>
        </w:pict>
      </w:r>
      <w:r w:rsidR="000B02CF" w:rsidRPr="000B02CF">
        <w:rPr>
          <w:rFonts w:ascii="Arial" w:hAnsi="Arial" w:cs="Arial"/>
          <w:b/>
          <w:sz w:val="16"/>
          <w:szCs w:val="16"/>
        </w:rPr>
        <w:t xml:space="preserve">    </w:t>
      </w:r>
    </w:p>
    <w:p w:rsidR="000B02CF" w:rsidRPr="000B02CF" w:rsidRDefault="000B02CF" w:rsidP="000B02CF">
      <w:pPr>
        <w:rPr>
          <w:rFonts w:ascii="Arial" w:hAnsi="Arial" w:cs="Arial"/>
          <w:sz w:val="16"/>
          <w:szCs w:val="16"/>
        </w:rPr>
      </w:pPr>
      <w:r w:rsidRPr="000B02CF">
        <w:rPr>
          <w:rFonts w:ascii="Arial" w:hAnsi="Arial" w:cs="Arial"/>
          <w:sz w:val="16"/>
          <w:szCs w:val="16"/>
        </w:rPr>
        <w:t xml:space="preserve">     = cilj (standard) </w:t>
      </w:r>
      <w:r>
        <w:rPr>
          <w:rFonts w:ascii="Arial" w:hAnsi="Arial" w:cs="Arial"/>
          <w:sz w:val="16"/>
          <w:szCs w:val="16"/>
        </w:rPr>
        <w:t xml:space="preserve"> JE </w:t>
      </w:r>
      <w:r w:rsidRPr="000B02CF">
        <w:rPr>
          <w:rFonts w:ascii="Arial" w:hAnsi="Arial" w:cs="Arial"/>
          <w:sz w:val="16"/>
          <w:szCs w:val="16"/>
        </w:rPr>
        <w:t xml:space="preserve"> dosežen </w:t>
      </w:r>
    </w:p>
    <w:p w:rsidR="000B02CF" w:rsidRPr="000B02CF" w:rsidRDefault="00F927E3" w:rsidP="000B02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36" type="#_x0000_t4" style="position:absolute;margin-left:-4.15pt;margin-top:8.05pt;width:13.5pt;height:12pt;z-index:251661312" fillcolor="red" strokecolor="white"/>
        </w:pict>
      </w:r>
    </w:p>
    <w:p w:rsidR="000B02CF" w:rsidRPr="000B02CF" w:rsidRDefault="000B02CF" w:rsidP="000B02CF">
      <w:pPr>
        <w:rPr>
          <w:rFonts w:ascii="Arial" w:hAnsi="Arial" w:cs="Arial"/>
          <w:sz w:val="16"/>
          <w:szCs w:val="16"/>
        </w:rPr>
      </w:pPr>
      <w:r w:rsidRPr="000B02CF">
        <w:rPr>
          <w:rFonts w:ascii="Arial" w:hAnsi="Arial" w:cs="Arial"/>
          <w:sz w:val="16"/>
          <w:szCs w:val="16"/>
        </w:rPr>
        <w:t xml:space="preserve">     = cilj (standard) </w:t>
      </w:r>
      <w:r>
        <w:rPr>
          <w:rFonts w:ascii="Arial" w:hAnsi="Arial" w:cs="Arial"/>
          <w:sz w:val="16"/>
          <w:szCs w:val="16"/>
        </w:rPr>
        <w:t xml:space="preserve"> NI  </w:t>
      </w:r>
      <w:r w:rsidRPr="000B02CF">
        <w:rPr>
          <w:rFonts w:ascii="Arial" w:hAnsi="Arial" w:cs="Arial"/>
          <w:sz w:val="16"/>
          <w:szCs w:val="16"/>
        </w:rPr>
        <w:t>dosežen</w:t>
      </w:r>
    </w:p>
    <w:p w:rsidR="00036E6C" w:rsidRDefault="00036E6C" w:rsidP="00C857F9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B02CF" w:rsidRDefault="000B02CF" w:rsidP="00C857F9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C857F9" w:rsidRDefault="00C857F9" w:rsidP="00C857F9">
      <w:pPr>
        <w:tabs>
          <w:tab w:val="left" w:pos="1590"/>
        </w:tabs>
        <w:jc w:val="both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Obrazložitev:</w:t>
      </w:r>
    </w:p>
    <w:p w:rsidR="007F03F7" w:rsidRDefault="007F03F7" w:rsidP="00C857F9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991260" w:rsidRDefault="000A768D" w:rsidP="00C857F9">
      <w:pPr>
        <w:tabs>
          <w:tab w:val="left" w:pos="15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85F87">
        <w:rPr>
          <w:rFonts w:ascii="Arial" w:hAnsi="Arial" w:cs="Arial"/>
        </w:rPr>
        <w:t xml:space="preserve"> </w:t>
      </w:r>
      <w:r w:rsidR="0006749A">
        <w:rPr>
          <w:rFonts w:ascii="Arial" w:hAnsi="Arial" w:cs="Arial"/>
        </w:rPr>
        <w:t xml:space="preserve">letu </w:t>
      </w:r>
      <w:r w:rsidR="00885F87">
        <w:rPr>
          <w:rFonts w:ascii="Arial" w:hAnsi="Arial" w:cs="Arial"/>
        </w:rPr>
        <w:t xml:space="preserve"> 201</w:t>
      </w:r>
      <w:r w:rsidR="001B6A8E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so bili cilji procesov</w:t>
      </w:r>
      <w:r w:rsidR="00885F87">
        <w:rPr>
          <w:rFonts w:ascii="Arial" w:hAnsi="Arial" w:cs="Arial"/>
        </w:rPr>
        <w:t xml:space="preserve">, ki sodijo v perspektivo učenja in rasti, realizirani v </w:t>
      </w:r>
      <w:r w:rsidR="00614ECA">
        <w:rPr>
          <w:rFonts w:ascii="Arial" w:hAnsi="Arial" w:cs="Arial"/>
        </w:rPr>
        <w:t>povprečnem obsegu</w:t>
      </w:r>
      <w:r w:rsidR="001B6A8E">
        <w:rPr>
          <w:rFonts w:ascii="Arial" w:hAnsi="Arial" w:cs="Arial"/>
        </w:rPr>
        <w:t xml:space="preserve"> </w:t>
      </w:r>
      <w:r w:rsidR="0006749A">
        <w:rPr>
          <w:rFonts w:ascii="Arial" w:hAnsi="Arial" w:cs="Arial"/>
        </w:rPr>
        <w:t>83</w:t>
      </w:r>
      <w:r w:rsidR="00614ECA">
        <w:rPr>
          <w:rFonts w:ascii="Arial" w:hAnsi="Arial" w:cs="Arial"/>
        </w:rPr>
        <w:t xml:space="preserve"> </w:t>
      </w:r>
      <w:r w:rsidR="00991260">
        <w:rPr>
          <w:rFonts w:ascii="Arial" w:hAnsi="Arial" w:cs="Arial"/>
        </w:rPr>
        <w:t xml:space="preserve">%. </w:t>
      </w:r>
      <w:r>
        <w:rPr>
          <w:rFonts w:ascii="Arial" w:hAnsi="Arial" w:cs="Arial"/>
        </w:rPr>
        <w:t>Število delavcev in njihova struktura sta  bila skladna s kadrovskim načrtom</w:t>
      </w:r>
      <w:r w:rsidR="006D62C1">
        <w:rPr>
          <w:rFonts w:ascii="Arial" w:hAnsi="Arial" w:cs="Arial"/>
        </w:rPr>
        <w:t xml:space="preserve"> in ukrepi vlade, ki regulirajo sistem zaposlovanja v okviru varčevalnih ukrepov. </w:t>
      </w:r>
      <w:r w:rsidR="00703856">
        <w:rPr>
          <w:rFonts w:ascii="Arial" w:hAnsi="Arial" w:cs="Arial"/>
        </w:rPr>
        <w:t>Obseg dodatnega strokovnega usposabljanja</w:t>
      </w:r>
      <w:r w:rsidR="0006749A">
        <w:rPr>
          <w:rFonts w:ascii="Arial" w:hAnsi="Arial" w:cs="Arial"/>
        </w:rPr>
        <w:t xml:space="preserve"> zaradi varčevalnih ukrepov</w:t>
      </w:r>
      <w:r w:rsidR="00703856">
        <w:rPr>
          <w:rFonts w:ascii="Arial" w:hAnsi="Arial" w:cs="Arial"/>
        </w:rPr>
        <w:t xml:space="preserve"> </w:t>
      </w:r>
      <w:r w:rsidR="001B6A8E">
        <w:rPr>
          <w:rFonts w:ascii="Arial" w:hAnsi="Arial" w:cs="Arial"/>
        </w:rPr>
        <w:t>ni bil</w:t>
      </w:r>
      <w:r w:rsidR="006D62C1">
        <w:rPr>
          <w:rFonts w:ascii="Arial" w:hAnsi="Arial" w:cs="Arial"/>
        </w:rPr>
        <w:t xml:space="preserve"> reali</w:t>
      </w:r>
      <w:r w:rsidR="0006749A">
        <w:rPr>
          <w:rFonts w:ascii="Arial" w:hAnsi="Arial" w:cs="Arial"/>
        </w:rPr>
        <w:t>ziran</w:t>
      </w:r>
      <w:r w:rsidR="006D62C1">
        <w:rPr>
          <w:rFonts w:ascii="Arial" w:hAnsi="Arial" w:cs="Arial"/>
        </w:rPr>
        <w:t>.</w:t>
      </w:r>
      <w:r w:rsidR="00703856">
        <w:rPr>
          <w:rFonts w:ascii="Arial" w:hAnsi="Arial" w:cs="Arial"/>
        </w:rPr>
        <w:t xml:space="preserve"> </w:t>
      </w:r>
      <w:r w:rsidR="006D62C1">
        <w:rPr>
          <w:rFonts w:ascii="Arial" w:hAnsi="Arial" w:cs="Arial"/>
        </w:rPr>
        <w:t>Sorazmerno obsegu  strokovnega uspos</w:t>
      </w:r>
      <w:r w:rsidR="00DF30F7">
        <w:rPr>
          <w:rFonts w:ascii="Arial" w:hAnsi="Arial" w:cs="Arial"/>
        </w:rPr>
        <w:t>ab</w:t>
      </w:r>
      <w:r w:rsidR="006D62C1">
        <w:rPr>
          <w:rFonts w:ascii="Arial" w:hAnsi="Arial" w:cs="Arial"/>
        </w:rPr>
        <w:t xml:space="preserve">ljanja </w:t>
      </w:r>
      <w:r w:rsidR="00DF30F7">
        <w:rPr>
          <w:rFonts w:ascii="Arial" w:hAnsi="Arial" w:cs="Arial"/>
        </w:rPr>
        <w:t xml:space="preserve">so bila </w:t>
      </w:r>
      <w:r w:rsidR="0006749A">
        <w:rPr>
          <w:rFonts w:ascii="Arial" w:hAnsi="Arial" w:cs="Arial"/>
        </w:rPr>
        <w:t xml:space="preserve">nižje </w:t>
      </w:r>
      <w:r w:rsidR="00DF30F7">
        <w:rPr>
          <w:rFonts w:ascii="Arial" w:hAnsi="Arial" w:cs="Arial"/>
        </w:rPr>
        <w:t>relizirana tudi finančna sredstva</w:t>
      </w:r>
      <w:r w:rsidR="006D62C1">
        <w:rPr>
          <w:rFonts w:ascii="Arial" w:hAnsi="Arial" w:cs="Arial"/>
        </w:rPr>
        <w:t xml:space="preserve"> </w:t>
      </w:r>
      <w:r w:rsidR="00DF30F7">
        <w:rPr>
          <w:rFonts w:ascii="Arial" w:hAnsi="Arial" w:cs="Arial"/>
        </w:rPr>
        <w:t xml:space="preserve">za ta nemn. </w:t>
      </w:r>
    </w:p>
    <w:p w:rsidR="00DF30F7" w:rsidRDefault="00DF30F7" w:rsidP="00C857F9">
      <w:pPr>
        <w:tabs>
          <w:tab w:val="left" w:pos="1590"/>
        </w:tabs>
        <w:jc w:val="both"/>
        <w:rPr>
          <w:rFonts w:ascii="Arial" w:hAnsi="Arial" w:cs="Arial"/>
        </w:rPr>
      </w:pPr>
    </w:p>
    <w:p w:rsidR="00281E3B" w:rsidRDefault="00281E3B" w:rsidP="00C857F9">
      <w:pPr>
        <w:tabs>
          <w:tab w:val="left" w:pos="1590"/>
        </w:tabs>
        <w:jc w:val="both"/>
        <w:rPr>
          <w:rFonts w:ascii="Arial" w:hAnsi="Arial" w:cs="Arial"/>
          <w:b/>
        </w:rPr>
      </w:pPr>
      <w:r w:rsidRPr="004D0D32">
        <w:rPr>
          <w:rFonts w:ascii="Arial" w:hAnsi="Arial" w:cs="Arial"/>
          <w:b/>
        </w:rPr>
        <w:t>Splošna ocena:</w:t>
      </w:r>
    </w:p>
    <w:p w:rsidR="000A768D" w:rsidRDefault="000A768D" w:rsidP="00C857F9">
      <w:pPr>
        <w:tabs>
          <w:tab w:val="left" w:pos="1590"/>
        </w:tabs>
        <w:jc w:val="both"/>
        <w:rPr>
          <w:rFonts w:ascii="Arial" w:hAnsi="Arial" w:cs="Arial"/>
          <w:b/>
        </w:rPr>
      </w:pPr>
    </w:p>
    <w:p w:rsidR="0006749A" w:rsidRPr="00A3166B" w:rsidRDefault="000A768D" w:rsidP="00C857F9">
      <w:pPr>
        <w:tabs>
          <w:tab w:val="left" w:pos="15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Iz pregleda realizacije posameznih ciljev procesov, ki so vključeni v posamezno perspektivo</w:t>
      </w:r>
      <w:r w:rsidR="00F04538">
        <w:rPr>
          <w:rFonts w:ascii="Arial" w:hAnsi="Arial" w:cs="Arial"/>
        </w:rPr>
        <w:t>, poslovodstvo ocenjuje</w:t>
      </w:r>
      <w:r>
        <w:rPr>
          <w:rFonts w:ascii="Arial" w:hAnsi="Arial" w:cs="Arial"/>
        </w:rPr>
        <w:t>, da je bilo</w:t>
      </w:r>
      <w:r w:rsidR="001B6A8E">
        <w:rPr>
          <w:rFonts w:ascii="Arial" w:hAnsi="Arial" w:cs="Arial"/>
        </w:rPr>
        <w:t xml:space="preserve"> </w:t>
      </w:r>
      <w:r w:rsidR="0006749A">
        <w:rPr>
          <w:rFonts w:ascii="Arial" w:hAnsi="Arial" w:cs="Arial"/>
        </w:rPr>
        <w:t xml:space="preserve">v danih pogojih delovanje </w:t>
      </w:r>
      <w:r w:rsidR="001B6A8E">
        <w:rPr>
          <w:rFonts w:ascii="Arial" w:hAnsi="Arial" w:cs="Arial"/>
        </w:rPr>
        <w:t xml:space="preserve">doma </w:t>
      </w:r>
      <w:r>
        <w:rPr>
          <w:rFonts w:ascii="Arial" w:hAnsi="Arial" w:cs="Arial"/>
        </w:rPr>
        <w:t xml:space="preserve">uspešno in učinkovito, kar pomeni, da </w:t>
      </w:r>
      <w:r w:rsidR="00703856">
        <w:rPr>
          <w:rFonts w:ascii="Arial" w:hAnsi="Arial" w:cs="Arial"/>
        </w:rPr>
        <w:t xml:space="preserve">so vodstvo in zaposleni </w:t>
      </w:r>
      <w:r>
        <w:rPr>
          <w:rFonts w:ascii="Arial" w:hAnsi="Arial" w:cs="Arial"/>
        </w:rPr>
        <w:t xml:space="preserve"> delal</w:t>
      </w:r>
      <w:r w:rsidR="0070385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»prave stvari na pravi način«.</w:t>
      </w:r>
      <w:r w:rsidR="000E792A">
        <w:rPr>
          <w:rFonts w:ascii="Arial" w:hAnsi="Arial" w:cs="Arial"/>
        </w:rPr>
        <w:t xml:space="preserve"> </w:t>
      </w:r>
      <w:r w:rsidR="001B6A8E">
        <w:rPr>
          <w:rFonts w:ascii="Arial" w:hAnsi="Arial" w:cs="Arial"/>
        </w:rPr>
        <w:t xml:space="preserve">Procesi so potekali nadzorovano, njihova realizacije pa je </w:t>
      </w:r>
      <w:r w:rsidR="00DF30F7">
        <w:rPr>
          <w:rFonts w:ascii="Arial" w:hAnsi="Arial" w:cs="Arial"/>
        </w:rPr>
        <w:t xml:space="preserve">bila </w:t>
      </w:r>
      <w:r w:rsidR="001B6A8E">
        <w:rPr>
          <w:rFonts w:ascii="Arial" w:hAnsi="Arial" w:cs="Arial"/>
        </w:rPr>
        <w:t xml:space="preserve">vodena. </w:t>
      </w:r>
      <w:r w:rsidR="00A3166B">
        <w:rPr>
          <w:rFonts w:ascii="Arial" w:hAnsi="Arial" w:cs="Arial"/>
        </w:rPr>
        <w:t xml:space="preserve">Kljub navedenemu pa je prisoten trend slabšanja pogojev za uspešno in učinkovito doseganje ciljev, kar je posledica splošnih kriznih lastnosti poslovnega okolja in sprememb v ekonomskem položaju uporabnikov. </w:t>
      </w:r>
    </w:p>
    <w:p w:rsidR="001B6A8E" w:rsidRPr="004D0D32" w:rsidRDefault="001B6A8E" w:rsidP="00F571A3">
      <w:pPr>
        <w:tabs>
          <w:tab w:val="left" w:pos="1590"/>
        </w:tabs>
        <w:jc w:val="both"/>
        <w:rPr>
          <w:rFonts w:ascii="Arial" w:hAnsi="Arial" w:cs="Arial"/>
        </w:rPr>
      </w:pPr>
    </w:p>
    <w:p w:rsidR="003C4A8A" w:rsidRPr="004D0D32" w:rsidRDefault="007F2676" w:rsidP="00F571A3">
      <w:pPr>
        <w:tabs>
          <w:tab w:val="left" w:pos="15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FC514D">
        <w:rPr>
          <w:rFonts w:ascii="Arial" w:hAnsi="Arial" w:cs="Arial"/>
        </w:rPr>
        <w:t>m</w:t>
      </w:r>
      <w:r w:rsidR="00D01DB2" w:rsidRPr="004D0D32">
        <w:rPr>
          <w:rFonts w:ascii="Arial" w:hAnsi="Arial" w:cs="Arial"/>
        </w:rPr>
        <w:t xml:space="preserve">ag. </w:t>
      </w:r>
      <w:smartTag w:uri="urn:schemas-microsoft-com:office:smarttags" w:element="PersonName">
        <w:smartTagPr>
          <w:attr w:name="ProductID" w:val="Milan Krajnc"/>
        </w:smartTagPr>
        <w:r w:rsidR="003C4A8A" w:rsidRPr="004D0D32">
          <w:rPr>
            <w:rFonts w:ascii="Arial" w:hAnsi="Arial" w:cs="Arial"/>
          </w:rPr>
          <w:t>Milan Krajnc</w:t>
        </w:r>
      </w:smartTag>
      <w:r w:rsidR="003C4A8A" w:rsidRPr="004D0D32">
        <w:rPr>
          <w:rFonts w:ascii="Arial" w:hAnsi="Arial" w:cs="Arial"/>
        </w:rPr>
        <w:t>, univ. dipl.psih.</w:t>
      </w:r>
      <w:r w:rsidR="00D01DB2" w:rsidRPr="004D0D32">
        <w:rPr>
          <w:rFonts w:ascii="Arial" w:hAnsi="Arial" w:cs="Arial"/>
        </w:rPr>
        <w:t>,</w:t>
      </w:r>
    </w:p>
    <w:p w:rsidR="00D01DB2" w:rsidRPr="004D0D32" w:rsidRDefault="00281E3B" w:rsidP="00F571A3">
      <w:pPr>
        <w:tabs>
          <w:tab w:val="left" w:pos="1590"/>
        </w:tabs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 xml:space="preserve">             </w:t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1C324F">
        <w:rPr>
          <w:rFonts w:ascii="Arial" w:hAnsi="Arial" w:cs="Arial"/>
        </w:rPr>
        <w:t xml:space="preserve"> </w:t>
      </w:r>
      <w:r w:rsidRPr="004D0D32">
        <w:rPr>
          <w:rFonts w:ascii="Arial" w:hAnsi="Arial" w:cs="Arial"/>
        </w:rPr>
        <w:t xml:space="preserve"> </w:t>
      </w:r>
      <w:r w:rsidR="00D01DB2" w:rsidRPr="004D0D32">
        <w:rPr>
          <w:rFonts w:ascii="Arial" w:hAnsi="Arial" w:cs="Arial"/>
        </w:rPr>
        <w:t>višji svetovalec</w:t>
      </w:r>
    </w:p>
    <w:p w:rsidR="003C4A8A" w:rsidRPr="004D0D32" w:rsidRDefault="00281E3B" w:rsidP="00F571A3">
      <w:pPr>
        <w:tabs>
          <w:tab w:val="left" w:pos="1590"/>
        </w:tabs>
        <w:jc w:val="both"/>
        <w:rPr>
          <w:rFonts w:ascii="Arial" w:hAnsi="Arial" w:cs="Arial"/>
        </w:rPr>
      </w:pPr>
      <w:r w:rsidRPr="004D0D32">
        <w:rPr>
          <w:rFonts w:ascii="Arial" w:hAnsi="Arial" w:cs="Arial"/>
        </w:rPr>
        <w:t xml:space="preserve">                   </w:t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BA444A" w:rsidRPr="004D0D32">
        <w:rPr>
          <w:rFonts w:ascii="Arial" w:hAnsi="Arial" w:cs="Arial"/>
        </w:rPr>
        <w:tab/>
      </w:r>
      <w:r w:rsidR="001C324F">
        <w:rPr>
          <w:rFonts w:ascii="Arial" w:hAnsi="Arial" w:cs="Arial"/>
        </w:rPr>
        <w:t xml:space="preserve"> </w:t>
      </w:r>
      <w:r w:rsidR="00BA444A" w:rsidRPr="004D0D32">
        <w:rPr>
          <w:rFonts w:ascii="Arial" w:hAnsi="Arial" w:cs="Arial"/>
        </w:rPr>
        <w:t xml:space="preserve">       </w:t>
      </w:r>
      <w:r w:rsidRPr="004D0D32">
        <w:rPr>
          <w:rFonts w:ascii="Arial" w:hAnsi="Arial" w:cs="Arial"/>
        </w:rPr>
        <w:t xml:space="preserve"> </w:t>
      </w:r>
      <w:r w:rsidR="003C4A8A" w:rsidRPr="004D0D32">
        <w:rPr>
          <w:rFonts w:ascii="Arial" w:hAnsi="Arial" w:cs="Arial"/>
        </w:rPr>
        <w:t>direktor</w:t>
      </w:r>
    </w:p>
    <w:sectPr w:rsidR="003C4A8A" w:rsidRPr="004D0D32" w:rsidSect="00374F2A">
      <w:footerReference w:type="even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0E" w:rsidRDefault="00BC5C0E">
      <w:r>
        <w:separator/>
      </w:r>
    </w:p>
  </w:endnote>
  <w:endnote w:type="continuationSeparator" w:id="0">
    <w:p w:rsidR="00BC5C0E" w:rsidRDefault="00BC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F4" w:rsidRDefault="00F927E3" w:rsidP="00144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69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9F4" w:rsidRDefault="00D569F4" w:rsidP="009100E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9F4" w:rsidRDefault="00F927E3" w:rsidP="00144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69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49A">
      <w:rPr>
        <w:rStyle w:val="PageNumber"/>
        <w:noProof/>
      </w:rPr>
      <w:t>1</w:t>
    </w:r>
    <w:r>
      <w:rPr>
        <w:rStyle w:val="PageNumber"/>
      </w:rPr>
      <w:fldChar w:fldCharType="end"/>
    </w:r>
  </w:p>
  <w:p w:rsidR="00D569F4" w:rsidRDefault="00D569F4" w:rsidP="009100E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0E" w:rsidRDefault="00BC5C0E">
      <w:r>
        <w:separator/>
      </w:r>
    </w:p>
  </w:footnote>
  <w:footnote w:type="continuationSeparator" w:id="0">
    <w:p w:rsidR="00BC5C0E" w:rsidRDefault="00BC5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49C7"/>
    <w:multiLevelType w:val="hybridMultilevel"/>
    <w:tmpl w:val="4932712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3B42"/>
    <w:multiLevelType w:val="hybridMultilevel"/>
    <w:tmpl w:val="039841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F6266"/>
    <w:multiLevelType w:val="hybridMultilevel"/>
    <w:tmpl w:val="6C349C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32322"/>
    <w:multiLevelType w:val="hybridMultilevel"/>
    <w:tmpl w:val="2662DC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653CC"/>
    <w:multiLevelType w:val="hybridMultilevel"/>
    <w:tmpl w:val="A50058F8"/>
    <w:lvl w:ilvl="0" w:tplc="92044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A44F57"/>
    <w:multiLevelType w:val="hybridMultilevel"/>
    <w:tmpl w:val="063A3A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FF7643"/>
    <w:multiLevelType w:val="hybridMultilevel"/>
    <w:tmpl w:val="7318BF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A91"/>
    <w:rsid w:val="00001D3B"/>
    <w:rsid w:val="00014F45"/>
    <w:rsid w:val="0001743F"/>
    <w:rsid w:val="00023971"/>
    <w:rsid w:val="000260CD"/>
    <w:rsid w:val="00030B5E"/>
    <w:rsid w:val="00031618"/>
    <w:rsid w:val="00036E6C"/>
    <w:rsid w:val="000451D0"/>
    <w:rsid w:val="0006749A"/>
    <w:rsid w:val="00073917"/>
    <w:rsid w:val="00080901"/>
    <w:rsid w:val="00097B5A"/>
    <w:rsid w:val="000A186A"/>
    <w:rsid w:val="000A768D"/>
    <w:rsid w:val="000B02CF"/>
    <w:rsid w:val="000B08BC"/>
    <w:rsid w:val="000B1489"/>
    <w:rsid w:val="000B4F1C"/>
    <w:rsid w:val="000C4A15"/>
    <w:rsid w:val="000E792A"/>
    <w:rsid w:val="000F1AC9"/>
    <w:rsid w:val="00106747"/>
    <w:rsid w:val="001131AF"/>
    <w:rsid w:val="00137E7E"/>
    <w:rsid w:val="001403D9"/>
    <w:rsid w:val="00141186"/>
    <w:rsid w:val="00144FDE"/>
    <w:rsid w:val="00183F9D"/>
    <w:rsid w:val="00192129"/>
    <w:rsid w:val="00194920"/>
    <w:rsid w:val="001B3ED7"/>
    <w:rsid w:val="001B6A8E"/>
    <w:rsid w:val="001C324F"/>
    <w:rsid w:val="001C3297"/>
    <w:rsid w:val="001E3FC3"/>
    <w:rsid w:val="001F6FE9"/>
    <w:rsid w:val="00200295"/>
    <w:rsid w:val="002067D4"/>
    <w:rsid w:val="00213972"/>
    <w:rsid w:val="00255196"/>
    <w:rsid w:val="00281094"/>
    <w:rsid w:val="00281E3B"/>
    <w:rsid w:val="002827C0"/>
    <w:rsid w:val="002831E0"/>
    <w:rsid w:val="00284654"/>
    <w:rsid w:val="002866E3"/>
    <w:rsid w:val="002A3562"/>
    <w:rsid w:val="002A52CF"/>
    <w:rsid w:val="002B0565"/>
    <w:rsid w:val="002C1147"/>
    <w:rsid w:val="002D3F7D"/>
    <w:rsid w:val="002E4CDA"/>
    <w:rsid w:val="002E5D7C"/>
    <w:rsid w:val="002F5023"/>
    <w:rsid w:val="00301670"/>
    <w:rsid w:val="00301AC2"/>
    <w:rsid w:val="00303323"/>
    <w:rsid w:val="00314A5F"/>
    <w:rsid w:val="003157BF"/>
    <w:rsid w:val="00315CAE"/>
    <w:rsid w:val="003258B9"/>
    <w:rsid w:val="00330A74"/>
    <w:rsid w:val="003401BD"/>
    <w:rsid w:val="00352B55"/>
    <w:rsid w:val="00355F05"/>
    <w:rsid w:val="00374F2A"/>
    <w:rsid w:val="00394844"/>
    <w:rsid w:val="003B365D"/>
    <w:rsid w:val="003C4A8A"/>
    <w:rsid w:val="003E515A"/>
    <w:rsid w:val="003E6AAF"/>
    <w:rsid w:val="00424032"/>
    <w:rsid w:val="00433204"/>
    <w:rsid w:val="004502A2"/>
    <w:rsid w:val="0045590D"/>
    <w:rsid w:val="004629A0"/>
    <w:rsid w:val="00471A43"/>
    <w:rsid w:val="004B29B3"/>
    <w:rsid w:val="004D0D32"/>
    <w:rsid w:val="004E22D0"/>
    <w:rsid w:val="004F1146"/>
    <w:rsid w:val="00522668"/>
    <w:rsid w:val="00527E5C"/>
    <w:rsid w:val="00530B53"/>
    <w:rsid w:val="00536717"/>
    <w:rsid w:val="00545477"/>
    <w:rsid w:val="00546885"/>
    <w:rsid w:val="00555E0B"/>
    <w:rsid w:val="005717FF"/>
    <w:rsid w:val="005845A5"/>
    <w:rsid w:val="0058747F"/>
    <w:rsid w:val="0059135B"/>
    <w:rsid w:val="005A3158"/>
    <w:rsid w:val="005B4A66"/>
    <w:rsid w:val="005C2904"/>
    <w:rsid w:val="005C44DC"/>
    <w:rsid w:val="005C7B99"/>
    <w:rsid w:val="005E25F1"/>
    <w:rsid w:val="005E2829"/>
    <w:rsid w:val="00607BB9"/>
    <w:rsid w:val="00614ECA"/>
    <w:rsid w:val="0061732A"/>
    <w:rsid w:val="00625BF0"/>
    <w:rsid w:val="006275D2"/>
    <w:rsid w:val="00634C19"/>
    <w:rsid w:val="006355B5"/>
    <w:rsid w:val="006632BC"/>
    <w:rsid w:val="00676592"/>
    <w:rsid w:val="006974ED"/>
    <w:rsid w:val="006B419A"/>
    <w:rsid w:val="006C2806"/>
    <w:rsid w:val="006C3069"/>
    <w:rsid w:val="006C5BED"/>
    <w:rsid w:val="006D489C"/>
    <w:rsid w:val="006D62C1"/>
    <w:rsid w:val="006E014E"/>
    <w:rsid w:val="006F0834"/>
    <w:rsid w:val="006F2863"/>
    <w:rsid w:val="006F68F8"/>
    <w:rsid w:val="006F6EF6"/>
    <w:rsid w:val="00700AD0"/>
    <w:rsid w:val="00703856"/>
    <w:rsid w:val="00710C08"/>
    <w:rsid w:val="0072234B"/>
    <w:rsid w:val="007249E9"/>
    <w:rsid w:val="00745E15"/>
    <w:rsid w:val="00750886"/>
    <w:rsid w:val="00750B2E"/>
    <w:rsid w:val="00756FDD"/>
    <w:rsid w:val="00766F5E"/>
    <w:rsid w:val="00770213"/>
    <w:rsid w:val="00775554"/>
    <w:rsid w:val="00775A91"/>
    <w:rsid w:val="007823FB"/>
    <w:rsid w:val="00786F76"/>
    <w:rsid w:val="00786F8A"/>
    <w:rsid w:val="00796C60"/>
    <w:rsid w:val="007A17AC"/>
    <w:rsid w:val="007A7280"/>
    <w:rsid w:val="007C2E2E"/>
    <w:rsid w:val="007C535F"/>
    <w:rsid w:val="007C6C1C"/>
    <w:rsid w:val="007F03F7"/>
    <w:rsid w:val="007F2676"/>
    <w:rsid w:val="00825A41"/>
    <w:rsid w:val="008373A1"/>
    <w:rsid w:val="00840356"/>
    <w:rsid w:val="00855118"/>
    <w:rsid w:val="008637E9"/>
    <w:rsid w:val="00873303"/>
    <w:rsid w:val="00877DC4"/>
    <w:rsid w:val="00885F87"/>
    <w:rsid w:val="008911CD"/>
    <w:rsid w:val="00894639"/>
    <w:rsid w:val="008A4433"/>
    <w:rsid w:val="008A791D"/>
    <w:rsid w:val="008B2A63"/>
    <w:rsid w:val="008B414E"/>
    <w:rsid w:val="008C2413"/>
    <w:rsid w:val="008E0645"/>
    <w:rsid w:val="008E6EF5"/>
    <w:rsid w:val="0090474A"/>
    <w:rsid w:val="00904CE2"/>
    <w:rsid w:val="009100EC"/>
    <w:rsid w:val="00917DCB"/>
    <w:rsid w:val="00930A0F"/>
    <w:rsid w:val="009809D2"/>
    <w:rsid w:val="00984D18"/>
    <w:rsid w:val="00991260"/>
    <w:rsid w:val="00994949"/>
    <w:rsid w:val="00997ED6"/>
    <w:rsid w:val="009B5B69"/>
    <w:rsid w:val="009D7AAA"/>
    <w:rsid w:val="009E35E3"/>
    <w:rsid w:val="009F57B0"/>
    <w:rsid w:val="00A02E74"/>
    <w:rsid w:val="00A0794D"/>
    <w:rsid w:val="00A1394F"/>
    <w:rsid w:val="00A3166B"/>
    <w:rsid w:val="00A33837"/>
    <w:rsid w:val="00A34232"/>
    <w:rsid w:val="00A56D25"/>
    <w:rsid w:val="00A61517"/>
    <w:rsid w:val="00A644BF"/>
    <w:rsid w:val="00A7260E"/>
    <w:rsid w:val="00A7578B"/>
    <w:rsid w:val="00A82443"/>
    <w:rsid w:val="00A841DE"/>
    <w:rsid w:val="00A93358"/>
    <w:rsid w:val="00A94FC9"/>
    <w:rsid w:val="00AD1DBC"/>
    <w:rsid w:val="00AD6BCE"/>
    <w:rsid w:val="00AE18F7"/>
    <w:rsid w:val="00B02275"/>
    <w:rsid w:val="00B023FC"/>
    <w:rsid w:val="00B06163"/>
    <w:rsid w:val="00B2499D"/>
    <w:rsid w:val="00B266AE"/>
    <w:rsid w:val="00B404A3"/>
    <w:rsid w:val="00B40A79"/>
    <w:rsid w:val="00B438D4"/>
    <w:rsid w:val="00B61700"/>
    <w:rsid w:val="00B63467"/>
    <w:rsid w:val="00B81905"/>
    <w:rsid w:val="00B91413"/>
    <w:rsid w:val="00BA3D0B"/>
    <w:rsid w:val="00BA444A"/>
    <w:rsid w:val="00BC3964"/>
    <w:rsid w:val="00BC5C0E"/>
    <w:rsid w:val="00BC73EE"/>
    <w:rsid w:val="00BD14C2"/>
    <w:rsid w:val="00BD522A"/>
    <w:rsid w:val="00BE5D77"/>
    <w:rsid w:val="00BF5C1E"/>
    <w:rsid w:val="00C320F8"/>
    <w:rsid w:val="00C37A1C"/>
    <w:rsid w:val="00C403E6"/>
    <w:rsid w:val="00C66868"/>
    <w:rsid w:val="00C70A35"/>
    <w:rsid w:val="00C75372"/>
    <w:rsid w:val="00C857F9"/>
    <w:rsid w:val="00C96B85"/>
    <w:rsid w:val="00CA368F"/>
    <w:rsid w:val="00CA4F78"/>
    <w:rsid w:val="00CB300E"/>
    <w:rsid w:val="00CC26DF"/>
    <w:rsid w:val="00CC7BE1"/>
    <w:rsid w:val="00CF0811"/>
    <w:rsid w:val="00CF4FA2"/>
    <w:rsid w:val="00CF6213"/>
    <w:rsid w:val="00D01DB2"/>
    <w:rsid w:val="00D06233"/>
    <w:rsid w:val="00D12287"/>
    <w:rsid w:val="00D12C59"/>
    <w:rsid w:val="00D12D79"/>
    <w:rsid w:val="00D13FEC"/>
    <w:rsid w:val="00D22CA5"/>
    <w:rsid w:val="00D24090"/>
    <w:rsid w:val="00D27DAC"/>
    <w:rsid w:val="00D52ADB"/>
    <w:rsid w:val="00D569F4"/>
    <w:rsid w:val="00D758A2"/>
    <w:rsid w:val="00D813A9"/>
    <w:rsid w:val="00D9417E"/>
    <w:rsid w:val="00D95102"/>
    <w:rsid w:val="00D95C3F"/>
    <w:rsid w:val="00DB640B"/>
    <w:rsid w:val="00DC0B10"/>
    <w:rsid w:val="00DC6607"/>
    <w:rsid w:val="00DD6A29"/>
    <w:rsid w:val="00DE16D2"/>
    <w:rsid w:val="00DF0654"/>
    <w:rsid w:val="00DF30F7"/>
    <w:rsid w:val="00DF4D4E"/>
    <w:rsid w:val="00E13DEA"/>
    <w:rsid w:val="00E34493"/>
    <w:rsid w:val="00E36A1F"/>
    <w:rsid w:val="00E448BC"/>
    <w:rsid w:val="00E7158B"/>
    <w:rsid w:val="00E71EA5"/>
    <w:rsid w:val="00E844C0"/>
    <w:rsid w:val="00E92BE3"/>
    <w:rsid w:val="00E9380B"/>
    <w:rsid w:val="00EA11F5"/>
    <w:rsid w:val="00EA53BF"/>
    <w:rsid w:val="00EB5D94"/>
    <w:rsid w:val="00EC3A38"/>
    <w:rsid w:val="00EC3D2F"/>
    <w:rsid w:val="00ED0F3D"/>
    <w:rsid w:val="00EE4404"/>
    <w:rsid w:val="00EE6948"/>
    <w:rsid w:val="00EF1FA0"/>
    <w:rsid w:val="00EF22FC"/>
    <w:rsid w:val="00EF4460"/>
    <w:rsid w:val="00EF79FC"/>
    <w:rsid w:val="00F014CC"/>
    <w:rsid w:val="00F04538"/>
    <w:rsid w:val="00F06956"/>
    <w:rsid w:val="00F106CC"/>
    <w:rsid w:val="00F1174F"/>
    <w:rsid w:val="00F20AA8"/>
    <w:rsid w:val="00F261FB"/>
    <w:rsid w:val="00F41132"/>
    <w:rsid w:val="00F571A3"/>
    <w:rsid w:val="00F57977"/>
    <w:rsid w:val="00F927E3"/>
    <w:rsid w:val="00F96D11"/>
    <w:rsid w:val="00FA1416"/>
    <w:rsid w:val="00FA5BF2"/>
    <w:rsid w:val="00FB30F4"/>
    <w:rsid w:val="00FC514D"/>
    <w:rsid w:val="00FE3EB1"/>
    <w:rsid w:val="00FE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71A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571A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530B53"/>
  </w:style>
  <w:style w:type="character" w:styleId="FootnoteReference">
    <w:name w:val="footnote reference"/>
    <w:basedOn w:val="DefaultParagraphFont"/>
    <w:semiHidden/>
    <w:rsid w:val="00530B53"/>
    <w:rPr>
      <w:vertAlign w:val="superscript"/>
    </w:rPr>
  </w:style>
  <w:style w:type="character" w:styleId="PageNumber">
    <w:name w:val="page number"/>
    <w:basedOn w:val="DefaultParagraphFont"/>
    <w:rsid w:val="009100EC"/>
  </w:style>
  <w:style w:type="paragraph" w:styleId="BalloonText">
    <w:name w:val="Balloon Text"/>
    <w:basedOn w:val="Normal"/>
    <w:link w:val="BalloonTextChar"/>
    <w:rsid w:val="0007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LAN\DELOVNA%20MAPA\DSO%20&#268;RNOMELJ\POSLOVNA%20PORO&#268;ILA\LETO%202013\BSC\BSC%20%20-%20celoletni%20kazalniki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LAN\DELOVNA%20MAPA\DSO%20&#268;RNOMELJ\POSLOVNA%20PORO&#268;ILA\LETO%202013\BSC\BSC%20%20-%20celoletni%20kazalniki%20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LAN\DELOVNA%20MAPA\DSO%20&#268;RNOMELJ\POSLOVNA%20PORO&#268;ILA\LETO%202013\BSC\BSC%20%20-%20celoletni%20kazalniki%20201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ILAN\DELOVNA%20MAPA\DSO%20&#268;RNOMELJ\POSLOVNA%20PORO&#268;ILA\LETO%202013\BSC\BSC%20%20-%20celoletni%20kazalniki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l-SI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ODJEMALCI</a:t>
            </a:r>
          </a:p>
        </c:rich>
      </c:tx>
      <c:layout>
        <c:manualLayout>
          <c:xMode val="edge"/>
          <c:yMode val="edge"/>
          <c:x val="0.45443784826581218"/>
          <c:y val="2.6794280025341658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4.1814595660749486E-2"/>
          <c:y val="0.18815660821949973"/>
          <c:w val="0.93017751479289945"/>
          <c:h val="0.7241189739461481"/>
        </c:manualLayout>
      </c:layout>
      <c:lineChart>
        <c:grouping val="standard"/>
        <c:ser>
          <c:idx val="0"/>
          <c:order val="0"/>
          <c:tx>
            <c:strRef>
              <c:f>List1!$C$5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8915311621550273E-2"/>
                  <c:y val="-4.2601863265494333E-3"/>
                </c:manualLayout>
              </c:layout>
              <c:showVal val="1"/>
            </c:dLbl>
            <c:dLbl>
              <c:idx val="1"/>
              <c:layout>
                <c:manualLayout>
                  <c:x val="-2.5246548323471452E-2"/>
                  <c:y val="-5.5378061767838126E-2"/>
                </c:manualLayout>
              </c:layout>
              <c:showVal val="1"/>
            </c:dLbl>
            <c:dLbl>
              <c:idx val="2"/>
              <c:layout>
                <c:manualLayout>
                  <c:x val="-2.2090729783037475E-2"/>
                  <c:y val="-3.8338658146964855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normalizeH="1" baseline="0">
                    <a:solidFill>
                      <a:srgbClr val="00B050"/>
                    </a:solidFill>
                  </a:defRPr>
                </a:pPr>
                <a:endParaRPr lang="sl-SI"/>
              </a:p>
            </c:txPr>
            <c:showVal val="1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List1!$C$6:$C$9</c:f>
              <c:numCache>
                <c:formatCode>#,##0</c:formatCode>
                <c:ptCount val="4"/>
                <c:pt idx="0">
                  <c:v>95</c:v>
                </c:pt>
                <c:pt idx="1">
                  <c:v>100</c:v>
                </c:pt>
                <c:pt idx="2">
                  <c:v>90</c:v>
                </c:pt>
                <c:pt idx="3">
                  <c:v>70</c:v>
                </c:pt>
              </c:numCache>
            </c:numRef>
          </c:val>
        </c:ser>
        <c:ser>
          <c:idx val="3"/>
          <c:order val="1"/>
          <c:tx>
            <c:strRef>
              <c:f>List1!$F$5</c:f>
              <c:strCache>
                <c:ptCount val="1"/>
                <c:pt idx="0">
                  <c:v>I. 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List1!$F$6:$F$9</c:f>
              <c:numCache>
                <c:formatCode>#,##0</c:formatCode>
                <c:ptCount val="4"/>
                <c:pt idx="0">
                  <c:v>48</c:v>
                </c:pt>
                <c:pt idx="1">
                  <c:v>103</c:v>
                </c:pt>
                <c:pt idx="2">
                  <c:v>111</c:v>
                </c:pt>
              </c:numCache>
            </c:numRef>
          </c:val>
        </c:ser>
        <c:ser>
          <c:idx val="5"/>
          <c:order val="2"/>
          <c:tx>
            <c:strRef>
              <c:f>List1!$H$5</c:f>
              <c:strCache>
                <c:ptCount val="1"/>
                <c:pt idx="0">
                  <c:v>II. 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noFill/>
              </a:ln>
            </c:spPr>
          </c:marker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List1!$H$6:$H$9</c:f>
              <c:numCache>
                <c:formatCode>#,##0</c:formatCode>
                <c:ptCount val="4"/>
                <c:pt idx="0">
                  <c:v>70</c:v>
                </c:pt>
                <c:pt idx="1">
                  <c:v>102</c:v>
                </c:pt>
                <c:pt idx="2">
                  <c:v>111</c:v>
                </c:pt>
              </c:numCache>
            </c:numRef>
          </c:val>
        </c:ser>
        <c:ser>
          <c:idx val="7"/>
          <c:order val="3"/>
          <c:tx>
            <c:strRef>
              <c:f>List1!$J$5</c:f>
              <c:strCache>
                <c:ptCount val="1"/>
                <c:pt idx="0">
                  <c:v>III. 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dot"/>
            <c:size val="5"/>
            <c:spPr>
              <a:solidFill>
                <a:schemeClr val="accent1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List1!$J$6:$J$9</c:f>
              <c:numCache>
                <c:formatCode>#,##0</c:formatCode>
                <c:ptCount val="4"/>
                <c:pt idx="0">
                  <c:v>85</c:v>
                </c:pt>
                <c:pt idx="1">
                  <c:v>102</c:v>
                </c:pt>
                <c:pt idx="2">
                  <c:v>111</c:v>
                </c:pt>
              </c:numCache>
            </c:numRef>
          </c:val>
        </c:ser>
        <c:ser>
          <c:idx val="9"/>
          <c:order val="4"/>
          <c:tx>
            <c:strRef>
              <c:f>List1!$L$5</c:f>
              <c:strCache>
                <c:ptCount val="1"/>
                <c:pt idx="0">
                  <c:v>IV. 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92D05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0"/>
            <c:marker>
              <c:spPr>
                <a:solidFill>
                  <a:srgbClr val="00B05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Lbls>
            <c:dLbl>
              <c:idx val="0"/>
              <c:layout>
                <c:manualLayout>
                  <c:x val="-2.5246548323471417E-2"/>
                  <c:y val="-6.3897763578274758E-2"/>
                </c:manualLayout>
              </c:layout>
              <c:showVal val="1"/>
            </c:dLbl>
            <c:dLbl>
              <c:idx val="1"/>
              <c:layout>
                <c:manualLayout>
                  <c:x val="-5.680473372781069E-2"/>
                  <c:y val="-8.5197018104366404E-2"/>
                </c:manualLayout>
              </c:layout>
              <c:showVal val="1"/>
            </c:dLbl>
            <c:dLbl>
              <c:idx val="2"/>
              <c:layout>
                <c:manualLayout>
                  <c:x val="-2.6824457593688362E-2"/>
                  <c:y val="-5.1118210862619862E-2"/>
                </c:manualLayout>
              </c:layout>
              <c:showVal val="1"/>
            </c:dLbl>
            <c:dLbl>
              <c:idx val="3"/>
              <c:layout>
                <c:manualLayout>
                  <c:x val="-3.1558309649163591E-2"/>
                  <c:y val="-2.981895633652822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baseline="0">
                    <a:solidFill>
                      <a:srgbClr val="C00000"/>
                    </a:solidFill>
                  </a:defRPr>
                </a:pPr>
                <a:endParaRPr lang="sl-SI"/>
              </a:p>
            </c:txPr>
            <c:showVal val="1"/>
          </c:dLbls>
          <c:cat>
            <c:strRef>
              <c:f>List1!$A$6:$B$9</c:f>
              <c:strCache>
                <c:ptCount val="4"/>
                <c:pt idx="0">
                  <c:v>Delovanje doma</c:v>
                </c:pt>
                <c:pt idx="1">
                  <c:v>Pridobivanje odjemalcev</c:v>
                </c:pt>
                <c:pt idx="2">
                  <c:v>Kratkotrajne namestitve</c:v>
                </c:pt>
                <c:pt idx="3">
                  <c:v>Zadovoljstvo</c:v>
                </c:pt>
              </c:strCache>
            </c:strRef>
          </c:cat>
          <c:val>
            <c:numRef>
              <c:f>List1!$L$6:$L$9</c:f>
              <c:numCache>
                <c:formatCode>#,##0</c:formatCode>
                <c:ptCount val="4"/>
                <c:pt idx="0">
                  <c:v>106</c:v>
                </c:pt>
                <c:pt idx="1">
                  <c:v>103</c:v>
                </c:pt>
                <c:pt idx="2">
                  <c:v>111</c:v>
                </c:pt>
                <c:pt idx="3">
                  <c:v>126</c:v>
                </c:pt>
              </c:numCache>
            </c:numRef>
          </c:val>
        </c:ser>
        <c:marker val="1"/>
        <c:axId val="47639168"/>
        <c:axId val="47674880"/>
      </c:lineChart>
      <c:catAx>
        <c:axId val="476391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47674880"/>
        <c:crosses val="autoZero"/>
        <c:auto val="1"/>
        <c:lblAlgn val="ctr"/>
        <c:lblOffset val="100"/>
        <c:tickLblSkip val="1"/>
        <c:tickMarkSkip val="1"/>
      </c:catAx>
      <c:valAx>
        <c:axId val="47674880"/>
        <c:scaling>
          <c:orientation val="minMax"/>
        </c:scaling>
        <c:axPos val="l"/>
        <c:majorGridlines>
          <c:spPr>
            <a:ln w="3175">
              <a:solidFill>
                <a:schemeClr val="bg1">
                  <a:lumMod val="95000"/>
                </a:schemeClr>
              </a:solidFill>
              <a:prstDash val="solid"/>
            </a:ln>
          </c:spPr>
        </c:majorGridlines>
        <c:numFmt formatCode="#,##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47639168"/>
        <c:crosses val="autoZero"/>
        <c:crossBetween val="between"/>
      </c:valAx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4.1774730840033025E-2"/>
          <c:y val="9.590958457778985E-2"/>
          <c:w val="0.93150009245689724"/>
          <c:h val="6.3240002347949312E-2"/>
        </c:manualLayout>
      </c:layout>
      <c:spPr>
        <a:solidFill>
          <a:srgbClr val="FFFFFF"/>
        </a:solidFill>
        <a:ln w="3175">
          <a:solidFill>
            <a:srgbClr val="969696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l-SI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PROCESI</a:t>
            </a:r>
          </a:p>
        </c:rich>
      </c:tx>
      <c:layout>
        <c:manualLayout>
          <c:xMode val="edge"/>
          <c:yMode val="edge"/>
          <c:x val="0.46734121649427968"/>
          <c:y val="1.914414414414414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8677573839855528E-2"/>
          <c:y val="0.17229720446018112"/>
          <c:w val="0.88862887913343769"/>
          <c:h val="0.69435466539836888"/>
        </c:manualLayout>
      </c:layout>
      <c:lineChart>
        <c:grouping val="standard"/>
        <c:ser>
          <c:idx val="0"/>
          <c:order val="0"/>
          <c:tx>
            <c:strRef>
              <c:f>List1!$C$41</c:f>
              <c:strCache>
                <c:ptCount val="1"/>
                <c:pt idx="0">
                  <c:v>Standard uspešnosti (%)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99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5749128919860627E-2"/>
                  <c:y val="-9.2811217389772559E-3"/>
                </c:manualLayout>
              </c:layout>
              <c:showVal val="1"/>
            </c:dLbl>
            <c:dLbl>
              <c:idx val="1"/>
              <c:layout>
                <c:manualLayout>
                  <c:x val="-2.4777390631049202E-2"/>
                  <c:y val="-4.5045045045045043E-2"/>
                </c:manualLayout>
              </c:layout>
              <c:showVal val="1"/>
            </c:dLbl>
            <c:dLbl>
              <c:idx val="2"/>
              <c:layout>
                <c:manualLayout>
                  <c:x val="-2.0131629887727452E-2"/>
                  <c:y val="-4.0540540540540543E-2"/>
                </c:manualLayout>
              </c:layout>
              <c:showVal val="1"/>
            </c:dLbl>
            <c:dLbl>
              <c:idx val="3"/>
              <c:layout>
                <c:manualLayout>
                  <c:x val="-2.1680216802168157E-2"/>
                  <c:y val="-4.0540540540540543E-2"/>
                </c:manualLayout>
              </c:layout>
              <c:showVal val="1"/>
            </c:dLbl>
            <c:dLbl>
              <c:idx val="4"/>
              <c:layout>
                <c:manualLayout>
                  <c:x val="-2.3228803716608595E-2"/>
                  <c:y val="-4.9549549549549488E-2"/>
                </c:manualLayout>
              </c:layout>
              <c:showVal val="1"/>
            </c:dLbl>
            <c:dLbl>
              <c:idx val="5"/>
              <c:layout>
                <c:manualLayout>
                  <c:x val="-2.4777390631049202E-2"/>
                  <c:y val="-5.4054054054054092E-2"/>
                </c:manualLayout>
              </c:layout>
              <c:showVal val="1"/>
            </c:dLbl>
            <c:dLbl>
              <c:idx val="6"/>
              <c:layout>
                <c:manualLayout>
                  <c:x val="-2.6325977545489845E-2"/>
                  <c:y val="-5.4054054054054092E-2"/>
                </c:manualLayout>
              </c:layout>
              <c:showVal val="1"/>
            </c:dLbl>
            <c:dLbl>
              <c:idx val="7"/>
              <c:layout>
                <c:manualLayout>
                  <c:x val="-2.3228803716608477E-2"/>
                  <c:y val="-4.9549549549549488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baseline="0">
                    <a:solidFill>
                      <a:srgbClr val="00B050"/>
                    </a:solidFill>
                  </a:defRPr>
                </a:pPr>
                <a:endParaRPr lang="sl-SI"/>
              </a:p>
            </c:txPr>
            <c:showVal val="1"/>
          </c:dLbls>
          <c:cat>
            <c:strRef>
              <c:f>List1!$A$42:$B$49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List1!$C$42:$C$49</c:f>
              <c:numCache>
                <c:formatCode>#,##0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90</c:v>
                </c:pt>
              </c:numCache>
            </c:numRef>
          </c:val>
        </c:ser>
        <c:ser>
          <c:idx val="3"/>
          <c:order val="1"/>
          <c:tx>
            <c:strRef>
              <c:f>List1!$F$41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0"/>
            <c:marker>
              <c:spPr>
                <a:solidFill>
                  <a:srgbClr val="C00000"/>
                </a:solidFill>
                <a:ln w="9525">
                  <a:noFill/>
                </a:ln>
              </c:spPr>
            </c:marker>
          </c:dPt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</c:dPt>
          <c:dPt>
            <c:idx val="5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</c:dPt>
          <c:cat>
            <c:strRef>
              <c:f>List1!$A$42:$B$49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List1!$F$42:$F$49</c:f>
              <c:numCache>
                <c:formatCode>#,##0</c:formatCode>
                <c:ptCount val="8"/>
                <c:pt idx="0">
                  <c:v>0</c:v>
                </c:pt>
                <c:pt idx="1">
                  <c:v>50</c:v>
                </c:pt>
                <c:pt idx="2">
                  <c:v>2</c:v>
                </c:pt>
                <c:pt idx="3">
                  <c:v>25</c:v>
                </c:pt>
                <c:pt idx="4">
                  <c:v>25</c:v>
                </c:pt>
                <c:pt idx="5">
                  <c:v>23</c:v>
                </c:pt>
                <c:pt idx="6">
                  <c:v>25</c:v>
                </c:pt>
                <c:pt idx="7">
                  <c:v>83</c:v>
                </c:pt>
              </c:numCache>
            </c:numRef>
          </c:val>
        </c:ser>
        <c:ser>
          <c:idx val="5"/>
          <c:order val="2"/>
          <c:tx>
            <c:strRef>
              <c:f>List1!$H$41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solidFill>
                  <a:srgbClr val="800000"/>
                </a:solidFill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solidFill>
                    <a:srgbClr val="800000"/>
                  </a:solidFill>
                </a:ln>
              </c:spPr>
            </c:marker>
          </c:dPt>
          <c:dPt>
            <c:idx val="5"/>
            <c:marker>
              <c:spPr>
                <a:solidFill>
                  <a:srgbClr val="FF0000"/>
                </a:solidFill>
                <a:ln w="9525">
                  <a:solidFill>
                    <a:srgbClr val="800000"/>
                  </a:solidFill>
                </a:ln>
              </c:spPr>
            </c:marker>
          </c:dPt>
          <c:cat>
            <c:strRef>
              <c:f>List1!$A$42:$B$49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List1!$H$42:$H$49</c:f>
              <c:numCache>
                <c:formatCode>#,##0</c:formatCode>
                <c:ptCount val="8"/>
                <c:pt idx="0">
                  <c:v>100</c:v>
                </c:pt>
                <c:pt idx="1">
                  <c:v>53</c:v>
                </c:pt>
                <c:pt idx="2">
                  <c:v>34</c:v>
                </c:pt>
                <c:pt idx="3">
                  <c:v>50</c:v>
                </c:pt>
                <c:pt idx="4">
                  <c:v>50</c:v>
                </c:pt>
                <c:pt idx="5">
                  <c:v>46</c:v>
                </c:pt>
                <c:pt idx="6">
                  <c:v>50</c:v>
                </c:pt>
                <c:pt idx="7">
                  <c:v>85</c:v>
                </c:pt>
              </c:numCache>
            </c:numRef>
          </c:val>
        </c:ser>
        <c:ser>
          <c:idx val="7"/>
          <c:order val="3"/>
          <c:tx>
            <c:strRef>
              <c:f>List1!$J$41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triangle"/>
            <c:size val="7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dPt>
            <c:idx val="1"/>
            <c:marker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  <a:prstDash val="solid"/>
                </a:ln>
              </c:spPr>
            </c:marker>
          </c:dPt>
          <c:dPt>
            <c:idx val="3"/>
            <c:marker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  <a:prstDash val="solid"/>
                </a:ln>
              </c:spPr>
            </c:marker>
          </c:dPt>
          <c:dPt>
            <c:idx val="6"/>
            <c:marker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  <a:prstDash val="solid"/>
                </a:ln>
              </c:spPr>
            </c:marker>
          </c:dPt>
          <c:cat>
            <c:strRef>
              <c:f>List1!$A$42:$B$49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List1!$J$42:$J$49</c:f>
              <c:numCache>
                <c:formatCode>0</c:formatCode>
                <c:ptCount val="8"/>
                <c:pt idx="0">
                  <c:v>100</c:v>
                </c:pt>
                <c:pt idx="1">
                  <c:v>53</c:v>
                </c:pt>
                <c:pt idx="2" formatCode="General">
                  <c:v>47</c:v>
                </c:pt>
                <c:pt idx="3">
                  <c:v>75</c:v>
                </c:pt>
                <c:pt idx="4">
                  <c:v>75</c:v>
                </c:pt>
                <c:pt idx="5">
                  <c:v>84</c:v>
                </c:pt>
                <c:pt idx="6">
                  <c:v>75</c:v>
                </c:pt>
                <c:pt idx="7">
                  <c:v>74</c:v>
                </c:pt>
              </c:numCache>
            </c:numRef>
          </c:val>
        </c:ser>
        <c:ser>
          <c:idx val="9"/>
          <c:order val="4"/>
          <c:tx>
            <c:strRef>
              <c:f>List1!$L$41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0"/>
            <c:marker>
              <c:spPr>
                <a:solidFill>
                  <a:srgbClr val="00B050"/>
                </a:solidFill>
                <a:ln>
                  <a:solidFill>
                    <a:srgbClr val="C00000"/>
                  </a:solidFill>
                  <a:prstDash val="solid"/>
                </a:ln>
              </c:spPr>
            </c:marker>
          </c:dPt>
          <c:dPt>
            <c:idx val="1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Pt>
            <c:idx val="2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Pt>
            <c:idx val="3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Pt>
            <c:idx val="4"/>
            <c:marker>
              <c:spPr>
                <a:solidFill>
                  <a:srgbClr val="00B05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Pt>
            <c:idx val="5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Pt>
            <c:idx val="6"/>
            <c:marker>
              <c:spPr>
                <a:solidFill>
                  <a:srgbClr val="00B05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Pt>
            <c:idx val="7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Lbls>
            <c:dLbl>
              <c:idx val="0"/>
              <c:layout>
                <c:manualLayout>
                  <c:x val="0"/>
                  <c:y val="-4.0268456375838917E-2"/>
                </c:manualLayout>
              </c:layout>
              <c:showVal val="1"/>
            </c:dLbl>
            <c:dLbl>
              <c:idx val="1"/>
              <c:layout>
                <c:manualLayout>
                  <c:x val="-2.1680216802168046E-2"/>
                  <c:y val="4.921664993218141E-2"/>
                </c:manualLayout>
              </c:layout>
              <c:showVal val="1"/>
            </c:dLbl>
            <c:dLbl>
              <c:idx val="2"/>
              <c:layout>
                <c:manualLayout>
                  <c:x val="-2.3228803716608595E-2"/>
                  <c:y val="4.9217002237136577E-2"/>
                </c:manualLayout>
              </c:layout>
              <c:showVal val="1"/>
            </c:dLbl>
            <c:dLbl>
              <c:idx val="3"/>
              <c:layout>
                <c:manualLayout>
                  <c:x val="-2.1680216802168101E-2"/>
                  <c:y val="5.8165548098433995E-2"/>
                </c:manualLayout>
              </c:layout>
              <c:showVal val="1"/>
            </c:dLbl>
            <c:dLbl>
              <c:idx val="4"/>
              <c:layout>
                <c:manualLayout>
                  <c:x val="-2.4777390631049199E-2"/>
                  <c:y val="4.9217002237136577E-2"/>
                </c:manualLayout>
              </c:layout>
              <c:showVal val="1"/>
            </c:dLbl>
            <c:dLbl>
              <c:idx val="5"/>
              <c:layout>
                <c:manualLayout>
                  <c:x val="4.6457805062502773E-3"/>
                  <c:y val="-4.9670626245429346E-2"/>
                </c:manualLayout>
              </c:layout>
              <c:showVal val="1"/>
            </c:dLbl>
            <c:dLbl>
              <c:idx val="6"/>
              <c:layout>
                <c:manualLayout>
                  <c:x val="1.4124293785310734E-3"/>
                  <c:y val="-3.0712530712530713E-2"/>
                </c:manualLayout>
              </c:layout>
              <c:showVal val="1"/>
            </c:dLbl>
            <c:dLbl>
              <c:idx val="7"/>
              <c:layout>
                <c:manualLayout>
                  <c:x val="1.135617285175308E-16"/>
                  <c:y val="-8.948545861297539E-3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baseline="0">
                    <a:solidFill>
                      <a:srgbClr val="FF0000"/>
                    </a:solidFill>
                  </a:defRPr>
                </a:pPr>
                <a:endParaRPr lang="sl-SI"/>
              </a:p>
            </c:txPr>
            <c:showVal val="1"/>
          </c:dLbls>
          <c:cat>
            <c:strRef>
              <c:f>List1!$A$42:$B$49</c:f>
              <c:strCache>
                <c:ptCount val="8"/>
                <c:pt idx="0">
                  <c:v>Načrtovanje in razvoj</c:v>
                </c:pt>
                <c:pt idx="1">
                  <c:v>Priskrba virov</c:v>
                </c:pt>
                <c:pt idx="2">
                  <c:v>Nabava</c:v>
                </c:pt>
                <c:pt idx="3">
                  <c:v>Oskrba</c:v>
                </c:pt>
                <c:pt idx="4">
                  <c:v>Zdr. nega</c:v>
                </c:pt>
                <c:pt idx="5">
                  <c:v>Prehrana</c:v>
                </c:pt>
                <c:pt idx="6">
                  <c:v>Računovodstvo</c:v>
                </c:pt>
                <c:pt idx="7">
                  <c:v>Vzdrževanje </c:v>
                </c:pt>
              </c:strCache>
            </c:strRef>
          </c:cat>
          <c:val>
            <c:numRef>
              <c:f>List1!$L$42:$L$49</c:f>
              <c:numCache>
                <c:formatCode>0</c:formatCode>
                <c:ptCount val="8"/>
                <c:pt idx="0">
                  <c:v>100</c:v>
                </c:pt>
                <c:pt idx="1">
                  <c:v>93</c:v>
                </c:pt>
                <c:pt idx="2">
                  <c:v>95</c:v>
                </c:pt>
                <c:pt idx="3">
                  <c:v>99</c:v>
                </c:pt>
                <c:pt idx="4">
                  <c:v>100</c:v>
                </c:pt>
                <c:pt idx="5">
                  <c:v>90</c:v>
                </c:pt>
                <c:pt idx="6">
                  <c:v>100</c:v>
                </c:pt>
                <c:pt idx="7">
                  <c:v>84</c:v>
                </c:pt>
              </c:numCache>
            </c:numRef>
          </c:val>
        </c:ser>
        <c:marker val="1"/>
        <c:axId val="104679680"/>
        <c:axId val="104687104"/>
      </c:lineChart>
      <c:catAx>
        <c:axId val="10467968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04687104"/>
        <c:crosses val="autoZero"/>
        <c:auto val="1"/>
        <c:lblAlgn val="ctr"/>
        <c:lblOffset val="100"/>
        <c:tickLblSkip val="1"/>
        <c:tickMarkSkip val="1"/>
      </c:catAx>
      <c:valAx>
        <c:axId val="104687104"/>
        <c:scaling>
          <c:orientation val="minMax"/>
        </c:scaling>
        <c:axPos val="l"/>
        <c:majorGridlines>
          <c:spPr>
            <a:ln w="3175">
              <a:solidFill>
                <a:schemeClr val="bg1">
                  <a:lumMod val="95000"/>
                </a:schemeClr>
              </a:solidFill>
              <a:prstDash val="solid"/>
            </a:ln>
          </c:spPr>
        </c:majorGridlines>
        <c:numFmt formatCode="#,##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04679680"/>
        <c:crosses val="autoZero"/>
        <c:crossBetween val="between"/>
      </c:valAx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8.7703300858579136E-2"/>
          <c:y val="9.1036036036036064E-2"/>
          <c:w val="0.88840840339872773"/>
          <c:h val="5.690536993686598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sl-SI"/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FINANCE</a:t>
            </a:r>
          </a:p>
        </c:rich>
      </c:tx>
      <c:layout>
        <c:manualLayout>
          <c:xMode val="edge"/>
          <c:yMode val="edge"/>
          <c:x val="0.46967920329816082"/>
          <c:y val="3.819444444444444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4.0428061831153432E-2"/>
          <c:y val="0.23495479731700245"/>
          <c:w val="0.93222408464630369"/>
          <c:h val="0.67896507728200872"/>
        </c:manualLayout>
      </c:layout>
      <c:lineChart>
        <c:grouping val="standard"/>
        <c:ser>
          <c:idx val="0"/>
          <c:order val="0"/>
          <c:tx>
            <c:strRef>
              <c:f>List1!$C$77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1708270508739603E-2"/>
                  <c:y val="-6.8044680461453941E-2"/>
                </c:manualLayout>
              </c:layout>
              <c:showVal val="1"/>
            </c:dLbl>
            <c:dLbl>
              <c:idx val="1"/>
              <c:layout>
                <c:manualLayout>
                  <c:x val="-2.8537443457865644E-2"/>
                  <c:y val="-6.0271256790575621E-2"/>
                </c:manualLayout>
              </c:layout>
              <c:showVal val="1"/>
            </c:dLbl>
            <c:dLbl>
              <c:idx val="2"/>
              <c:layout>
                <c:manualLayout>
                  <c:x val="-5.0733232813983384E-2"/>
                  <c:y val="-5.1011902581944699E-2"/>
                </c:manualLayout>
              </c:layout>
              <c:showVal val="1"/>
            </c:dLbl>
            <c:dLbl>
              <c:idx val="3"/>
              <c:layout>
                <c:manualLayout>
                  <c:x val="1.2514659071871336E-3"/>
                  <c:y val="5.049429286455472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baseline="0">
                    <a:solidFill>
                      <a:srgbClr val="00B050"/>
                    </a:solidFill>
                  </a:defRPr>
                </a:pPr>
                <a:endParaRPr lang="sl-SI"/>
              </a:p>
            </c:txPr>
            <c:showVal val="1"/>
          </c:dLbls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List1!$C$78:$C$81</c:f>
              <c:numCache>
                <c:formatCode>#,##0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3"/>
          <c:order val="1"/>
          <c:tx>
            <c:strRef>
              <c:f>List1!$F$77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List1!$F$78:$F$81</c:f>
              <c:numCache>
                <c:formatCode>#,##0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26</c:v>
                </c:pt>
                <c:pt idx="3">
                  <c:v>107</c:v>
                </c:pt>
              </c:numCache>
            </c:numRef>
          </c:val>
        </c:ser>
        <c:ser>
          <c:idx val="5"/>
          <c:order val="2"/>
          <c:tx>
            <c:strRef>
              <c:f>List1!$H$77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List1!$H$78:$H$81</c:f>
              <c:numCache>
                <c:formatCode>#,##0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104</c:v>
                </c:pt>
              </c:numCache>
            </c:numRef>
          </c:val>
        </c:ser>
        <c:ser>
          <c:idx val="7"/>
          <c:order val="3"/>
          <c:tx>
            <c:strRef>
              <c:f>List1!$J$77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  <a:prstDash val="solid"/>
              </a:ln>
            </c:spPr>
          </c:marker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List1!$J$78:$J$81</c:f>
              <c:numCache>
                <c:formatCode>#,##0</c:formatCode>
                <c:ptCount val="4"/>
                <c:pt idx="0">
                  <c:v>74</c:v>
                </c:pt>
                <c:pt idx="1">
                  <c:v>74</c:v>
                </c:pt>
                <c:pt idx="2">
                  <c:v>74</c:v>
                </c:pt>
                <c:pt idx="3">
                  <c:v>102</c:v>
                </c:pt>
              </c:numCache>
            </c:numRef>
          </c:val>
        </c:ser>
        <c:ser>
          <c:idx val="9"/>
          <c:order val="4"/>
          <c:tx>
            <c:strRef>
              <c:f>List1!$L$77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CCFFFF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0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Pt>
            <c:idx val="1"/>
            <c:marker>
              <c:spPr>
                <a:solidFill>
                  <a:srgbClr val="FF000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Pt>
            <c:idx val="2"/>
            <c:marker>
              <c:spPr>
                <a:solidFill>
                  <a:srgbClr val="00B05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Pt>
            <c:idx val="3"/>
            <c:marker>
              <c:spPr>
                <a:solidFill>
                  <a:srgbClr val="00B050"/>
                </a:solidFill>
                <a:ln>
                  <a:solidFill>
                    <a:srgbClr val="FF0000"/>
                  </a:solidFill>
                  <a:prstDash val="solid"/>
                </a:ln>
              </c:spPr>
            </c:marker>
          </c:dPt>
          <c:dLbls>
            <c:dLbl>
              <c:idx val="0"/>
              <c:layout>
                <c:manualLayout>
                  <c:x val="-2.2028815546992798E-2"/>
                  <c:y val="7.2674357565769385E-2"/>
                </c:manualLayout>
              </c:layout>
              <c:showVal val="1"/>
            </c:dLbl>
            <c:dLbl>
              <c:idx val="1"/>
              <c:layout>
                <c:manualLayout>
                  <c:x val="-2.0777349639805671E-2"/>
                  <c:y val="6.4900933894891058E-2"/>
                </c:manualLayout>
              </c:layout>
              <c:showVal val="1"/>
            </c:dLbl>
            <c:dLbl>
              <c:idx val="2"/>
              <c:layout>
                <c:manualLayout>
                  <c:x val="-6.0077064834980747E-3"/>
                  <c:y val="-4.9440029298663257E-2"/>
                </c:manualLayout>
              </c:layout>
              <c:showVal val="1"/>
            </c:dLbl>
            <c:dLbl>
              <c:idx val="3"/>
              <c:layout>
                <c:manualLayout>
                  <c:x val="-1.1168816653472697E-7"/>
                  <c:y val="-4.6899346883965076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baseline="0">
                    <a:solidFill>
                      <a:srgbClr val="FF0000"/>
                    </a:solidFill>
                  </a:defRPr>
                </a:pPr>
                <a:endParaRPr lang="sl-SI"/>
              </a:p>
            </c:txPr>
            <c:showVal val="1"/>
          </c:dLbls>
          <c:cat>
            <c:strRef>
              <c:f>List1!$A$78:$B$81</c:f>
              <c:strCache>
                <c:ptCount val="4"/>
                <c:pt idx="0">
                  <c:v>Realizacija prihodkov</c:v>
                </c:pt>
                <c:pt idx="1">
                  <c:v>Real. prih. oskrbe</c:v>
                </c:pt>
                <c:pt idx="2">
                  <c:v>Real. prih. zd. nege</c:v>
                </c:pt>
                <c:pt idx="3">
                  <c:v>Ravnanje s fin. sredstvi</c:v>
                </c:pt>
              </c:strCache>
            </c:strRef>
          </c:cat>
          <c:val>
            <c:numRef>
              <c:f>List1!$L$78:$L$81</c:f>
              <c:numCache>
                <c:formatCode>#,##0</c:formatCode>
                <c:ptCount val="4"/>
                <c:pt idx="0">
                  <c:v>98</c:v>
                </c:pt>
                <c:pt idx="1">
                  <c:v>99</c:v>
                </c:pt>
                <c:pt idx="2">
                  <c:v>100</c:v>
                </c:pt>
                <c:pt idx="3">
                  <c:v>101</c:v>
                </c:pt>
              </c:numCache>
            </c:numRef>
          </c:val>
        </c:ser>
        <c:marker val="1"/>
        <c:axId val="107321984"/>
        <c:axId val="107377024"/>
      </c:lineChart>
      <c:catAx>
        <c:axId val="1073219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07377024"/>
        <c:crosses val="autoZero"/>
        <c:auto val="1"/>
        <c:lblAlgn val="ctr"/>
        <c:lblOffset val="100"/>
        <c:tickLblSkip val="1"/>
        <c:tickMarkSkip val="1"/>
      </c:catAx>
      <c:valAx>
        <c:axId val="107377024"/>
        <c:scaling>
          <c:orientation val="minMax"/>
        </c:scaling>
        <c:axPos val="l"/>
        <c:majorGridlines>
          <c:spPr>
            <a:ln>
              <a:solidFill>
                <a:schemeClr val="bg1">
                  <a:lumMod val="95000"/>
                </a:schemeClr>
              </a:solidFill>
            </a:ln>
          </c:spPr>
        </c:majorGridlines>
        <c:numFmt formatCode="#,##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07321984"/>
        <c:crosses val="autoZero"/>
        <c:crossBetween val="between"/>
      </c:valAx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3.8918858546936955E-2"/>
          <c:y val="0.11778798483522893"/>
          <c:w val="0.93130652817333981"/>
          <c:h val="8.333369787109952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ysClr val="windowText" lastClr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</c:chart>
  <c:spPr>
    <a:noFill/>
    <a:ln w="3175">
      <a:solidFill>
        <a:srgbClr val="000000"/>
      </a:solidFill>
      <a:prstDash val="solid"/>
    </a:ln>
  </c:spPr>
  <c:txPr>
    <a:bodyPr/>
    <a:lstStyle/>
    <a:p>
      <a:pPr>
        <a:defRPr sz="5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l-SI"/>
  <c:chart>
    <c:title>
      <c:tx>
        <c:rich>
          <a:bodyPr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sl-SI"/>
              <a:t>UČENJE IN RAST</a:t>
            </a:r>
          </a:p>
        </c:rich>
      </c:tx>
      <c:layout>
        <c:manualLayout>
          <c:xMode val="edge"/>
          <c:yMode val="edge"/>
          <c:x val="0.4423079446799919"/>
          <c:y val="3.571428571428571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4.5673103727548292E-2"/>
          <c:y val="0.2202388451443569"/>
          <c:w val="0.90144283672792658"/>
          <c:h val="0.68809598800149985"/>
        </c:manualLayout>
      </c:layout>
      <c:lineChart>
        <c:grouping val="standard"/>
        <c:ser>
          <c:idx val="0"/>
          <c:order val="0"/>
          <c:tx>
            <c:strRef>
              <c:f>List1!$C$113</c:f>
              <c:strCache>
                <c:ptCount val="1"/>
                <c:pt idx="0">
                  <c:v>Standard uspešnosti</c:v>
                </c:pt>
              </c:strCache>
            </c:strRef>
          </c:tx>
          <c:spPr>
            <a:ln w="25400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FFFF00"/>
              </a:solidFill>
              <a:ln>
                <a:solidFill>
                  <a:srgbClr val="008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7243589743589751E-2"/>
                  <c:y val="-5.7143232095988004E-2"/>
                </c:manualLayout>
              </c:layout>
              <c:showVal val="1"/>
            </c:dLbl>
            <c:dLbl>
              <c:idx val="1"/>
              <c:layout>
                <c:manualLayout>
                  <c:x val="-2.0833333333333412E-2"/>
                  <c:y val="-4.2857142857142913E-2"/>
                </c:manualLayout>
              </c:layout>
              <c:showVal val="1"/>
            </c:dLbl>
            <c:dLbl>
              <c:idx val="2"/>
              <c:layout>
                <c:manualLayout>
                  <c:x val="-2.8846153846153848E-2"/>
                  <c:y val="-5.2380952380952375E-2"/>
                </c:manualLayout>
              </c:layout>
              <c:showVal val="1"/>
            </c:dLbl>
            <c:dLbl>
              <c:idx val="3"/>
              <c:layout>
                <c:manualLayout>
                  <c:x val="-2.7243589743589626E-2"/>
                  <c:y val="-4.761904761904762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normalizeH="1" baseline="0">
                    <a:solidFill>
                      <a:srgbClr val="00B050"/>
                    </a:solidFill>
                  </a:defRPr>
                </a:pPr>
                <a:endParaRPr lang="sl-SI"/>
              </a:p>
            </c:txPr>
            <c:showVal val="1"/>
          </c:dLbls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List1!$C$114:$C$117</c:f>
              <c:numCache>
                <c:formatCode>#,##0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3"/>
          <c:order val="1"/>
          <c:tx>
            <c:strRef>
              <c:f>List1!$F$113</c:f>
              <c:strCache>
                <c:ptCount val="1"/>
                <c:pt idx="0">
                  <c:v>I.tromesečje</c:v>
                </c:pt>
              </c:strCache>
            </c:strRef>
          </c:tx>
          <c:spPr>
            <a:ln w="12700">
              <a:solidFill>
                <a:srgbClr val="00FF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00B050"/>
              </a:solidFill>
              <a:ln w="9525">
                <a:noFill/>
              </a:ln>
            </c:spPr>
          </c:marker>
          <c:dPt>
            <c:idx val="2"/>
            <c:marker>
              <c:spPr>
                <a:solidFill>
                  <a:srgbClr val="FF0000"/>
                </a:solidFill>
                <a:ln w="9525">
                  <a:noFill/>
                </a:ln>
              </c:spPr>
            </c:marker>
          </c:dPt>
          <c:dPt>
            <c:idx val="3"/>
            <c:marker>
              <c:spPr>
                <a:solidFill>
                  <a:srgbClr val="C00000"/>
                </a:solidFill>
                <a:ln w="9525">
                  <a:noFill/>
                </a:ln>
              </c:spPr>
            </c:marker>
          </c:dPt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List1!$F$114:$F$117</c:f>
              <c:numCache>
                <c:formatCode>#,##0</c:formatCode>
                <c:ptCount val="4"/>
                <c:pt idx="0">
                  <c:v>99</c:v>
                </c:pt>
                <c:pt idx="1">
                  <c:v>99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</c:ser>
        <c:ser>
          <c:idx val="5"/>
          <c:order val="2"/>
          <c:tx>
            <c:strRef>
              <c:f>List1!$H$113</c:f>
              <c:strCache>
                <c:ptCount val="1"/>
                <c:pt idx="0">
                  <c:v>II.tromesečje</c:v>
                </c:pt>
              </c:strCache>
            </c:strRef>
          </c:tx>
          <c:spPr>
            <a:ln w="12700">
              <a:solidFill>
                <a:srgbClr val="8000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C00000"/>
              </a:solidFill>
              <a:ln w="9525">
                <a:noFill/>
              </a:ln>
            </c:spPr>
          </c:marker>
          <c:dPt>
            <c:idx val="1"/>
            <c:marker>
              <c:spPr>
                <a:solidFill>
                  <a:srgbClr val="00B050"/>
                </a:solidFill>
                <a:ln w="9525">
                  <a:noFill/>
                </a:ln>
              </c:spPr>
            </c:marker>
          </c:dPt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List1!$H$114:$H$117</c:f>
              <c:numCache>
                <c:formatCode>#,##0</c:formatCode>
                <c:ptCount val="4"/>
                <c:pt idx="0">
                  <c:v>98</c:v>
                </c:pt>
                <c:pt idx="1">
                  <c:v>99</c:v>
                </c:pt>
                <c:pt idx="2">
                  <c:v>31</c:v>
                </c:pt>
                <c:pt idx="3">
                  <c:v>30</c:v>
                </c:pt>
              </c:numCache>
            </c:numRef>
          </c:val>
        </c:ser>
        <c:ser>
          <c:idx val="7"/>
          <c:order val="3"/>
          <c:tx>
            <c:strRef>
              <c:f>List1!$J$113</c:f>
              <c:strCache>
                <c:ptCount val="1"/>
                <c:pt idx="0">
                  <c:v>III.tromesečje</c:v>
                </c:pt>
              </c:strCache>
            </c:strRef>
          </c:tx>
          <c:spPr>
            <a:ln w="12700">
              <a:solidFill>
                <a:srgbClr val="0000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FF000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Pt>
            <c:idx val="0"/>
            <c:marker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  <a:prstDash val="solid"/>
                </a:ln>
              </c:spPr>
            </c:marker>
          </c:dPt>
          <c:dPt>
            <c:idx val="1"/>
            <c:marker>
              <c:spPr>
                <a:solidFill>
                  <a:srgbClr val="00B050"/>
                </a:solidFill>
                <a:ln>
                  <a:solidFill>
                    <a:srgbClr val="00B050"/>
                  </a:solidFill>
                  <a:prstDash val="solid"/>
                </a:ln>
              </c:spPr>
            </c:marker>
          </c:dPt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List1!$J$114:$J$117</c:f>
              <c:numCache>
                <c:formatCode>#,##0</c:formatCode>
                <c:ptCount val="4"/>
                <c:pt idx="0">
                  <c:v>98</c:v>
                </c:pt>
                <c:pt idx="1">
                  <c:v>99</c:v>
                </c:pt>
                <c:pt idx="2">
                  <c:v>38</c:v>
                </c:pt>
                <c:pt idx="3">
                  <c:v>46</c:v>
                </c:pt>
              </c:numCache>
            </c:numRef>
          </c:val>
        </c:ser>
        <c:ser>
          <c:idx val="9"/>
          <c:order val="4"/>
          <c:tx>
            <c:strRef>
              <c:f>List1!$L$113</c:f>
              <c:strCache>
                <c:ptCount val="1"/>
                <c:pt idx="0">
                  <c:v>IV.tromesečje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ysDash"/>
            </a:ln>
          </c:spPr>
          <c:marker>
            <c:symbol val="triangle"/>
            <c:size val="7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4.8076923076923114E-3"/>
                  <c:y val="-3.333333333333334E-2"/>
                </c:manualLayout>
              </c:layout>
              <c:showVal val="1"/>
            </c:dLbl>
            <c:dLbl>
              <c:idx val="1"/>
              <c:layout>
                <c:manualLayout>
                  <c:x val="8.0128205128205208E-3"/>
                  <c:y val="-4.2857142857142906E-2"/>
                </c:manualLayout>
              </c:layout>
              <c:showVal val="1"/>
            </c:dLbl>
            <c:dLbl>
              <c:idx val="2"/>
              <c:layout>
                <c:manualLayout>
                  <c:x val="-2.403846153846154E-2"/>
                  <c:y val="-5.7142857142857099E-2"/>
                </c:manualLayout>
              </c:layout>
              <c:showVal val="1"/>
            </c:dLbl>
            <c:dLbl>
              <c:idx val="3"/>
              <c:layout>
                <c:manualLayout>
                  <c:x val="-2.188183807439836E-2"/>
                  <c:y val="-8.8467614533965219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 i="0" baseline="0">
                    <a:solidFill>
                      <a:srgbClr val="FF0000"/>
                    </a:solidFill>
                  </a:defRPr>
                </a:pPr>
                <a:endParaRPr lang="sl-SI"/>
              </a:p>
            </c:txPr>
            <c:showVal val="1"/>
          </c:dLbls>
          <c:cat>
            <c:strRef>
              <c:f>List1!$A$114:$B$117</c:f>
              <c:strCache>
                <c:ptCount val="4"/>
                <c:pt idx="0">
                  <c:v>Št. delavcev</c:v>
                </c:pt>
                <c:pt idx="1">
                  <c:v>Struktura zaposlenih</c:v>
                </c:pt>
                <c:pt idx="2">
                  <c:v>Dod. strok. izpop. </c:v>
                </c:pt>
                <c:pt idx="3">
                  <c:v>Fin. sr. str. uspos.</c:v>
                </c:pt>
              </c:strCache>
            </c:strRef>
          </c:cat>
          <c:val>
            <c:numRef>
              <c:f>List1!$L$114:$L$117</c:f>
              <c:numCache>
                <c:formatCode>#,##0</c:formatCode>
                <c:ptCount val="4"/>
                <c:pt idx="0">
                  <c:v>98</c:v>
                </c:pt>
                <c:pt idx="1">
                  <c:v>99</c:v>
                </c:pt>
                <c:pt idx="2">
                  <c:v>76</c:v>
                </c:pt>
                <c:pt idx="3">
                  <c:v>58</c:v>
                </c:pt>
              </c:numCache>
            </c:numRef>
          </c:val>
        </c:ser>
        <c:marker val="1"/>
        <c:axId val="138331264"/>
        <c:axId val="138332800"/>
      </c:lineChart>
      <c:catAx>
        <c:axId val="1383312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38332800"/>
        <c:crosses val="autoZero"/>
        <c:auto val="1"/>
        <c:lblAlgn val="ctr"/>
        <c:lblOffset val="100"/>
        <c:tickLblSkip val="1"/>
        <c:tickMarkSkip val="1"/>
      </c:catAx>
      <c:valAx>
        <c:axId val="138332800"/>
        <c:scaling>
          <c:orientation val="minMax"/>
        </c:scaling>
        <c:axPos val="l"/>
        <c:majorGridlines>
          <c:spPr>
            <a:ln w="3175">
              <a:solidFill>
                <a:schemeClr val="bg1">
                  <a:lumMod val="95000"/>
                </a:schemeClr>
              </a:solidFill>
              <a:prstDash val="solid"/>
            </a:ln>
          </c:spPr>
        </c:majorGridlines>
        <c:numFmt formatCode="#,##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sl-SI"/>
          </a:p>
        </c:txPr>
        <c:crossAx val="138331264"/>
        <c:crosses val="autoZero"/>
        <c:crossBetween val="between"/>
      </c:valAx>
      <c:spPr>
        <a:solidFill>
          <a:schemeClr val="bg1">
            <a:lumMod val="85000"/>
          </a:schemeClr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4.0865384615384623E-2"/>
          <c:y val="0.10714285714285714"/>
          <c:w val="0.90745192307692257"/>
          <c:h val="8.571428571428571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l-SI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l-SI"/>
    </a:p>
  </c:txPr>
  <c:externalData r:id="rId1"/>
</c:chartSpac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A759-7392-41A6-AE3A-A3414E92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1378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PRILOGA 1 k Planu dela 2006</vt:lpstr>
      <vt:lpstr>PRILOGA 1 k Planu dela 2006</vt:lpstr>
    </vt:vector>
  </TitlesOfParts>
  <Company>DSO Črnomelj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 k Planu dela 2006</dc:title>
  <dc:subject/>
  <dc:creator>Milan Krajnc</dc:creator>
  <cp:keywords/>
  <dc:description/>
  <cp:lastModifiedBy>Milan Krajnc</cp:lastModifiedBy>
  <cp:revision>15</cp:revision>
  <cp:lastPrinted>2007-10-25T12:09:00Z</cp:lastPrinted>
  <dcterms:created xsi:type="dcterms:W3CDTF">2013-04-26T10:06:00Z</dcterms:created>
  <dcterms:modified xsi:type="dcterms:W3CDTF">2014-02-13T17:49:00Z</dcterms:modified>
</cp:coreProperties>
</file>