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6C60">
        <w:rPr>
          <w:rFonts w:ascii="Arial" w:hAnsi="Arial" w:cs="Arial"/>
        </w:rPr>
        <w:t>Datum:</w:t>
      </w:r>
      <w:r w:rsidR="00C12574">
        <w:rPr>
          <w:rFonts w:ascii="Arial" w:hAnsi="Arial" w:cs="Arial"/>
        </w:rPr>
        <w:t xml:space="preserve"> </w:t>
      </w:r>
      <w:r w:rsidR="00D03B4F">
        <w:rPr>
          <w:rFonts w:ascii="Arial" w:hAnsi="Arial" w:cs="Arial"/>
        </w:rPr>
        <w:t>28.01.2016</w:t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B7599B">
        <w:rPr>
          <w:rFonts w:ascii="Arial" w:hAnsi="Arial" w:cs="Arial"/>
          <w:b/>
        </w:rPr>
        <w:t>5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955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955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1955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955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</w:t>
            </w:r>
            <w:r w:rsidR="00DF4395">
              <w:rPr>
                <w:rFonts w:ascii="Arial" w:hAnsi="Arial" w:cs="Arial"/>
                <w:b/>
                <w:highlight w:val="yellow"/>
              </w:rPr>
              <w:t>3</w:t>
            </w:r>
          </w:p>
        </w:tc>
      </w:tr>
      <w:tr w:rsidR="00721B61" w:rsidRPr="00301AC2" w:rsidTr="00C2506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8110C">
              <w:rPr>
                <w:rFonts w:ascii="Arial" w:hAnsi="Arial" w:cs="Arial"/>
                <w:b/>
              </w:rPr>
              <w:t>7</w:t>
            </w: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Pr="00625BF0" w:rsidRDefault="00E8110C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8110C">
              <w:rPr>
                <w:rFonts w:ascii="Arial" w:hAnsi="Arial" w:cs="Arial"/>
                <w:b/>
              </w:rPr>
              <w:t>6</w:t>
            </w: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Default="00C2506E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C2506E" w:rsidRPr="00625BF0" w:rsidRDefault="00B364C7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B30" w:rsidRDefault="00580B30" w:rsidP="00C2506E">
            <w:pPr>
              <w:jc w:val="center"/>
              <w:rPr>
                <w:rFonts w:ascii="Arial" w:hAnsi="Arial" w:cs="Arial"/>
                <w:b/>
              </w:rPr>
            </w:pPr>
          </w:p>
          <w:p w:rsidR="00E8110C" w:rsidRDefault="00E8110C" w:rsidP="00E811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  <w:p w:rsidR="00E8110C" w:rsidRDefault="00E8110C" w:rsidP="00E8110C">
            <w:pPr>
              <w:jc w:val="center"/>
              <w:rPr>
                <w:rFonts w:ascii="Arial" w:hAnsi="Arial" w:cs="Arial"/>
                <w:b/>
              </w:rPr>
            </w:pPr>
          </w:p>
          <w:p w:rsidR="00E8110C" w:rsidRDefault="00E8110C" w:rsidP="00E8110C">
            <w:pPr>
              <w:jc w:val="center"/>
              <w:rPr>
                <w:rFonts w:ascii="Arial" w:hAnsi="Arial" w:cs="Arial"/>
                <w:b/>
              </w:rPr>
            </w:pPr>
          </w:p>
          <w:p w:rsidR="00E8110C" w:rsidRPr="00625BF0" w:rsidRDefault="00E8110C" w:rsidP="00E811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03B4F" w:rsidRDefault="00D03B4F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  <w:p w:rsidR="00D03B4F" w:rsidRDefault="00D03B4F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03B4F" w:rsidRDefault="00D03B4F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03B4F" w:rsidRPr="005B4C7B" w:rsidRDefault="00D03B4F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22</w:t>
            </w:r>
          </w:p>
        </w:tc>
      </w:tr>
      <w:tr w:rsidR="00721B61" w:rsidRPr="00301AC2" w:rsidTr="00B70FC8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70FC8" w:rsidP="00B70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70FC8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E8110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129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22008" w:rsidP="00721B6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79A860" wp14:editId="6D3D1A14">
            <wp:extent cx="8397240" cy="3695700"/>
            <wp:effectExtent l="0" t="0" r="2286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DF4395" w:rsidRDefault="00DF4395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70FC8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70FC8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E8110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439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2200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2200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439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64C5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439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E8110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</w:t>
            </w:r>
            <w:r w:rsidR="00DF4395">
              <w:rPr>
                <w:rFonts w:ascii="Arial" w:hAnsi="Arial" w:cs="Arial"/>
                <w:b/>
                <w:highlight w:val="yellow"/>
              </w:rPr>
              <w:t>5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E8110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364C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120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364C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364C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364C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522008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954DC15" wp14:editId="5BA85096">
            <wp:extent cx="8061960" cy="3665220"/>
            <wp:effectExtent l="0" t="0" r="15240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21B61" w:rsidRPr="000B02CF">
        <w:rPr>
          <w:rFonts w:ascii="Arial" w:hAnsi="Arial" w:cs="Arial"/>
          <w:b/>
          <w:sz w:val="16"/>
          <w:szCs w:val="16"/>
        </w:rPr>
        <w:t xml:space="preserve">: </w:t>
      </w: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C2506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C2506E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C2506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C2506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721B61" w:rsidRPr="00625BF0" w:rsidRDefault="00721B61" w:rsidP="00C250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C2506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55B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lastRenderedPageBreak/>
        <w:t xml:space="preserve">    </w:t>
      </w:r>
      <w:r w:rsidR="00522008">
        <w:rPr>
          <w:noProof/>
        </w:rPr>
        <w:drawing>
          <wp:inline distT="0" distB="0" distL="0" distR="0" wp14:anchorId="088F5A8F" wp14:editId="1CF3843D">
            <wp:extent cx="8069580" cy="4206240"/>
            <wp:effectExtent l="0" t="0" r="26670" b="2286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21B61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Default="00D43EE9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  <w:p w:rsidR="00721B61" w:rsidRPr="00625BF0" w:rsidRDefault="00721B61" w:rsidP="00B70F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43EE9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B364C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B4F" w:rsidRDefault="00D03B4F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  <w:p w:rsidR="00721B61" w:rsidRPr="00625BF0" w:rsidRDefault="00721B61" w:rsidP="00B70F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99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21B61" w:rsidP="00A52D32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C2506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Default="00A52D32" w:rsidP="00A52D32">
            <w:pPr>
              <w:jc w:val="center"/>
              <w:rPr>
                <w:rFonts w:ascii="Arial" w:hAnsi="Arial" w:cs="Arial"/>
                <w:b/>
              </w:rPr>
            </w:pPr>
          </w:p>
          <w:p w:rsidR="00A52D32" w:rsidRDefault="00A52D32" w:rsidP="00A52D32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Default="00C2506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A52D32" w:rsidRPr="00625BF0" w:rsidRDefault="00A52D32" w:rsidP="00A52D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C7" w:rsidRDefault="00B364C7" w:rsidP="00A52D32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B364C7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03B4F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13</w:t>
            </w:r>
            <w:r w:rsidR="00DF4395">
              <w:rPr>
                <w:rFonts w:ascii="Arial" w:hAnsi="Arial" w:cs="Arial"/>
                <w:b/>
                <w:highlight w:val="yellow"/>
              </w:rPr>
              <w:t>9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2506E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22008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4395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99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522008" w:rsidP="001470B2">
      <w:pPr>
        <w:tabs>
          <w:tab w:val="left" w:pos="1590"/>
        </w:tabs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B99BEEA" wp14:editId="37F8E8F8">
            <wp:extent cx="8054340" cy="4229100"/>
            <wp:effectExtent l="0" t="0" r="22860" b="1905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ED" w:rsidRDefault="008778ED" w:rsidP="006F3E38">
      <w:r>
        <w:separator/>
      </w:r>
    </w:p>
  </w:endnote>
  <w:endnote w:type="continuationSeparator" w:id="0">
    <w:p w:rsidR="008778ED" w:rsidRDefault="008778ED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ED" w:rsidRDefault="008778ED" w:rsidP="006F3E38">
      <w:r>
        <w:separator/>
      </w:r>
    </w:p>
  </w:footnote>
  <w:footnote w:type="continuationSeparator" w:id="0">
    <w:p w:rsidR="008778ED" w:rsidRDefault="008778ED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6578F"/>
    <w:rsid w:val="00072095"/>
    <w:rsid w:val="000D27B8"/>
    <w:rsid w:val="000E2501"/>
    <w:rsid w:val="001226A2"/>
    <w:rsid w:val="001318D6"/>
    <w:rsid w:val="001470B2"/>
    <w:rsid w:val="001955B1"/>
    <w:rsid w:val="001E511E"/>
    <w:rsid w:val="0031505C"/>
    <w:rsid w:val="00356AD8"/>
    <w:rsid w:val="0036261E"/>
    <w:rsid w:val="00447C57"/>
    <w:rsid w:val="00455900"/>
    <w:rsid w:val="00461C8E"/>
    <w:rsid w:val="004B19FB"/>
    <w:rsid w:val="004B60B5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4236C"/>
    <w:rsid w:val="00670325"/>
    <w:rsid w:val="0067099E"/>
    <w:rsid w:val="00670A73"/>
    <w:rsid w:val="006C7B5F"/>
    <w:rsid w:val="006F3E38"/>
    <w:rsid w:val="006F4B8E"/>
    <w:rsid w:val="00721B61"/>
    <w:rsid w:val="007532D4"/>
    <w:rsid w:val="00811159"/>
    <w:rsid w:val="0083673F"/>
    <w:rsid w:val="00836A7A"/>
    <w:rsid w:val="0086727B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12EEE"/>
    <w:rsid w:val="00B1365C"/>
    <w:rsid w:val="00B3351D"/>
    <w:rsid w:val="00B364C7"/>
    <w:rsid w:val="00B36564"/>
    <w:rsid w:val="00B42204"/>
    <w:rsid w:val="00B70FC8"/>
    <w:rsid w:val="00B7599B"/>
    <w:rsid w:val="00BF2DF0"/>
    <w:rsid w:val="00C12574"/>
    <w:rsid w:val="00C2506E"/>
    <w:rsid w:val="00CA374D"/>
    <w:rsid w:val="00CE0A40"/>
    <w:rsid w:val="00CE4027"/>
    <w:rsid w:val="00D03B4F"/>
    <w:rsid w:val="00D43EE9"/>
    <w:rsid w:val="00DF4395"/>
    <w:rsid w:val="00E347D2"/>
    <w:rsid w:val="00E8110C"/>
    <w:rsid w:val="00EB11A8"/>
    <w:rsid w:val="00F0699A"/>
    <w:rsid w:val="00F64C5D"/>
    <w:rsid w:val="00F90CA9"/>
    <w:rsid w:val="00FB5803"/>
    <w:rsid w:val="00FB6700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11399500988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52</c:v>
                </c:pt>
                <c:pt idx="1">
                  <c:v>107</c:v>
                </c:pt>
                <c:pt idx="2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74</c:v>
                </c:pt>
                <c:pt idx="1">
                  <c:v>106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93</c:v>
                </c:pt>
                <c:pt idx="1">
                  <c:v>107</c:v>
                </c:pt>
                <c:pt idx="2">
                  <c:v>22</c:v>
                </c:pt>
                <c:pt idx="3">
                  <c:v>129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113</c:v>
                </c:pt>
                <c:pt idx="1">
                  <c:v>106</c:v>
                </c:pt>
                <c:pt idx="2">
                  <c:v>22</c:v>
                </c:pt>
                <c:pt idx="3">
                  <c:v>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96640"/>
        <c:axId val="81151680"/>
      </c:lineChart>
      <c:catAx>
        <c:axId val="8369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115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151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36966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13531641878"/>
          <c:w val="0.69428275839932052"/>
          <c:h val="4.6915200414762964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List1!$C$33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List1!$C$34:$C$41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List1!$F$34:$F$41</c:f>
              <c:numCache>
                <c:formatCode>#,##0</c:formatCode>
                <c:ptCount val="8"/>
                <c:pt idx="0">
                  <c:v>25</c:v>
                </c:pt>
                <c:pt idx="1">
                  <c:v>61</c:v>
                </c:pt>
                <c:pt idx="2">
                  <c:v>1</c:v>
                </c:pt>
                <c:pt idx="3">
                  <c:v>25</c:v>
                </c:pt>
                <c:pt idx="4">
                  <c:v>28</c:v>
                </c:pt>
                <c:pt idx="5">
                  <c:v>31</c:v>
                </c:pt>
                <c:pt idx="6">
                  <c:v>25</c:v>
                </c:pt>
                <c:pt idx="7">
                  <c:v>95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List1!$H$34:$H$41</c:f>
              <c:numCache>
                <c:formatCode>#,##0</c:formatCode>
                <c:ptCount val="8"/>
                <c:pt idx="0">
                  <c:v>50</c:v>
                </c:pt>
                <c:pt idx="1">
                  <c:v>74</c:v>
                </c:pt>
                <c:pt idx="2">
                  <c:v>46</c:v>
                </c:pt>
                <c:pt idx="3">
                  <c:v>51</c:v>
                </c:pt>
                <c:pt idx="4">
                  <c:v>51</c:v>
                </c:pt>
                <c:pt idx="5">
                  <c:v>61</c:v>
                </c:pt>
                <c:pt idx="6">
                  <c:v>50</c:v>
                </c:pt>
                <c:pt idx="7">
                  <c:v>61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List1!$J$34:$J$41</c:f>
              <c:numCache>
                <c:formatCode>0</c:formatCode>
                <c:ptCount val="8"/>
                <c:pt idx="0">
                  <c:v>75</c:v>
                </c:pt>
                <c:pt idx="1">
                  <c:v>88</c:v>
                </c:pt>
                <c:pt idx="2" formatCode="General">
                  <c:v>79</c:v>
                </c:pt>
                <c:pt idx="3">
                  <c:v>78</c:v>
                </c:pt>
                <c:pt idx="4">
                  <c:v>77</c:v>
                </c:pt>
                <c:pt idx="5">
                  <c:v>92</c:v>
                </c:pt>
                <c:pt idx="6">
                  <c:v>75</c:v>
                </c:pt>
                <c:pt idx="7">
                  <c:v>101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List1!$A$34:$B$41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List1!$L$34:$L$41</c:f>
              <c:numCache>
                <c:formatCode>0</c:formatCode>
                <c:ptCount val="8"/>
                <c:pt idx="0">
                  <c:v>100</c:v>
                </c:pt>
                <c:pt idx="1">
                  <c:v>101</c:v>
                </c:pt>
                <c:pt idx="2">
                  <c:v>105</c:v>
                </c:pt>
                <c:pt idx="3">
                  <c:v>105</c:v>
                </c:pt>
                <c:pt idx="4">
                  <c:v>103</c:v>
                </c:pt>
                <c:pt idx="5">
                  <c:v>120</c:v>
                </c:pt>
                <c:pt idx="6">
                  <c:v>100</c:v>
                </c:pt>
                <c:pt idx="7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700224"/>
        <c:axId val="81153408"/>
      </c:lineChart>
      <c:catAx>
        <c:axId val="837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115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153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37002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List1!$C$63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List1!$C$64:$C$67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3"/>
          <c:order val="1"/>
          <c:tx>
            <c:strRef>
              <c:f>List1!$F$63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List1!$F$64:$F$67</c:f>
              <c:numCache>
                <c:formatCode>#,##0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110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List1!$H$63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List1!$H$64:$H$67</c:f>
              <c:numCache>
                <c:formatCode>#,##0</c:formatCode>
                <c:ptCount val="4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>
                  <c:v>108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List1!$J$63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List1!$J$64:$J$67</c:f>
              <c:numCache>
                <c:formatCode>#,##0</c:formatCode>
                <c:ptCount val="4"/>
                <c:pt idx="0">
                  <c:v>77</c:v>
                </c:pt>
                <c:pt idx="1">
                  <c:v>78</c:v>
                </c:pt>
                <c:pt idx="2">
                  <c:v>77</c:v>
                </c:pt>
                <c:pt idx="3">
                  <c:v>77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List1!$L$63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List1!$A$64:$B$67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List1!$L$64:$L$67</c:f>
              <c:numCache>
                <c:formatCode>#,##0</c:formatCode>
                <c:ptCount val="4"/>
                <c:pt idx="0">
                  <c:v>103</c:v>
                </c:pt>
                <c:pt idx="1">
                  <c:v>104</c:v>
                </c:pt>
                <c:pt idx="2">
                  <c:v>103</c:v>
                </c:pt>
                <c:pt idx="3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701248"/>
        <c:axId val="81155136"/>
      </c:lineChart>
      <c:catAx>
        <c:axId val="837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115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155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37012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List1!$C$96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List1!$C$97:$C$100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List1!$F$96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List1!$F$97:$F$100</c:f>
              <c:numCache>
                <c:formatCode>#,##0</c:formatCode>
                <c:ptCount val="4"/>
                <c:pt idx="0">
                  <c:v>103</c:v>
                </c:pt>
                <c:pt idx="1">
                  <c:v>100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List1!$H$96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List1!$H$97:$H$100</c:f>
              <c:numCache>
                <c:formatCode>#,##0</c:formatCode>
                <c:ptCount val="4"/>
                <c:pt idx="0">
                  <c:v>103</c:v>
                </c:pt>
                <c:pt idx="1">
                  <c:v>100</c:v>
                </c:pt>
                <c:pt idx="2">
                  <c:v>26</c:v>
                </c:pt>
                <c:pt idx="3">
                  <c:v>19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List1!$J$96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List1!$J$97:$J$100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34</c:v>
                </c:pt>
                <c:pt idx="3">
                  <c:v>26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List1!$L$96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List1!$A$97:$B$100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List1!$L$97:$L$100</c:f>
              <c:numCache>
                <c:formatCode>#,##0</c:formatCode>
                <c:ptCount val="4"/>
                <c:pt idx="0">
                  <c:v>101</c:v>
                </c:pt>
                <c:pt idx="1">
                  <c:v>99</c:v>
                </c:pt>
                <c:pt idx="2">
                  <c:v>139</c:v>
                </c:pt>
                <c:pt idx="3">
                  <c:v>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632960"/>
        <c:axId val="81156864"/>
      </c:lineChart>
      <c:catAx>
        <c:axId val="11863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1156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1568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86329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90155861850920649"/>
          <c:h val="8.01130349037862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21</cp:revision>
  <cp:lastPrinted>2015-10-23T11:47:00Z</cp:lastPrinted>
  <dcterms:created xsi:type="dcterms:W3CDTF">2015-07-02T12:00:00Z</dcterms:created>
  <dcterms:modified xsi:type="dcterms:W3CDTF">2016-03-08T12:00:00Z</dcterms:modified>
</cp:coreProperties>
</file>