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61" w:rsidRPr="00796C60" w:rsidRDefault="00721B61" w:rsidP="00721B61">
      <w:pPr>
        <w:ind w:left="4956" w:firstLine="708"/>
        <w:rPr>
          <w:rFonts w:ascii="Arial" w:hAnsi="Arial" w:cs="Arial"/>
        </w:rPr>
      </w:pP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21B61" w:rsidRPr="004D0D32" w:rsidRDefault="00721B61" w:rsidP="00721B61">
      <w:pPr>
        <w:rPr>
          <w:rFonts w:ascii="Arial" w:hAnsi="Arial" w:cs="Arial"/>
          <w:b/>
          <w:i/>
        </w:rPr>
      </w:pPr>
    </w:p>
    <w:p w:rsidR="00721B61" w:rsidRPr="004D0D32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721B61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>SISTEM URAVNOTEŽENIH   KAZAL</w:t>
      </w:r>
      <w:r>
        <w:rPr>
          <w:rFonts w:ascii="Arial" w:hAnsi="Arial" w:cs="Arial"/>
          <w:b/>
        </w:rPr>
        <w:t xml:space="preserve">CEV </w:t>
      </w:r>
      <w:r w:rsidRPr="004D0D32">
        <w:rPr>
          <w:rFonts w:ascii="Arial" w:hAnsi="Arial" w:cs="Arial"/>
          <w:b/>
        </w:rPr>
        <w:t xml:space="preserve"> USPEŠNOSTI </w:t>
      </w:r>
    </w:p>
    <w:p w:rsidR="00721B61" w:rsidRPr="004D0D32" w:rsidRDefault="00721B61" w:rsidP="00721B6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>v letu 20</w:t>
      </w:r>
      <w:r>
        <w:rPr>
          <w:rFonts w:ascii="Arial" w:hAnsi="Arial" w:cs="Arial"/>
          <w:b/>
        </w:rPr>
        <w:t>1</w:t>
      </w:r>
      <w:r w:rsidR="00D11217">
        <w:rPr>
          <w:rFonts w:ascii="Arial" w:hAnsi="Arial" w:cs="Arial"/>
          <w:b/>
        </w:rPr>
        <w:t>7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Uravnotežen sistem kazalnikov uspešnosti temelji na presojanju doseganja standardov, z naslednjih štirih perspektiv: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odjemalcev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notranjih procesov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financ</w:t>
      </w:r>
    </w:p>
    <w:p w:rsidR="00721B61" w:rsidRPr="004D0D32" w:rsidRDefault="00721B61" w:rsidP="00721B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učenja in rasti.</w:t>
      </w: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PERSPEKTIVA ODJEMALCEV</w:t>
      </w:r>
    </w:p>
    <w:p w:rsidR="00721B61" w:rsidRPr="004D0D32" w:rsidRDefault="00721B61" w:rsidP="00721B61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802"/>
        <w:gridCol w:w="1785"/>
        <w:gridCol w:w="1883"/>
        <w:gridCol w:w="1683"/>
        <w:gridCol w:w="1671"/>
        <w:gridCol w:w="1671"/>
        <w:gridCol w:w="1671"/>
      </w:tblGrid>
      <w:tr w:rsidR="00721B61" w:rsidRPr="00301AC2" w:rsidTr="005F3F53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ODJEMALCEV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 marec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 junij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januar-september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CA2512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DELOVANJE DOMA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Uspešno in učinkovito delovanje doma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Doseganje ciljev delovnega plana v %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doseganja letnih ciljev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CA25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CA25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CA25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CA251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117</w:t>
            </w:r>
          </w:p>
        </w:tc>
      </w:tr>
      <w:tr w:rsidR="00721B61" w:rsidRPr="00301AC2" w:rsidTr="00CA2512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PRIDOBIVANJE ODJEMALCEV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Polna  zasedenost kapacitet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Povprečen % zasedenosti postelj</w:t>
            </w: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Kratkotrajne namestitve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98 % zasedenost</w:t>
            </w: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6112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1125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% zasedenost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512" w:rsidRDefault="00CA2512" w:rsidP="00CA2512">
            <w:pPr>
              <w:jc w:val="center"/>
              <w:rPr>
                <w:rFonts w:ascii="Arial" w:hAnsi="Arial" w:cs="Arial"/>
                <w:b/>
              </w:rPr>
            </w:pPr>
          </w:p>
          <w:p w:rsidR="004B05AE" w:rsidRDefault="00CA2512" w:rsidP="00CA25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</w:t>
            </w:r>
          </w:p>
          <w:p w:rsidR="00CA2512" w:rsidRDefault="00CA2512" w:rsidP="00CA2512">
            <w:pPr>
              <w:jc w:val="center"/>
              <w:rPr>
                <w:rFonts w:ascii="Arial" w:hAnsi="Arial" w:cs="Arial"/>
                <w:b/>
              </w:rPr>
            </w:pPr>
          </w:p>
          <w:p w:rsidR="00CA2512" w:rsidRDefault="00CA2512" w:rsidP="00CA2512">
            <w:pPr>
              <w:jc w:val="center"/>
              <w:rPr>
                <w:rFonts w:ascii="Arial" w:hAnsi="Arial" w:cs="Arial"/>
                <w:b/>
              </w:rPr>
            </w:pPr>
          </w:p>
          <w:p w:rsidR="00CA2512" w:rsidRDefault="00CA2512" w:rsidP="00CA25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  <w:p w:rsidR="00CA2512" w:rsidRPr="00625BF0" w:rsidRDefault="00CA2512" w:rsidP="00CA25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5AE" w:rsidRDefault="004B05AE" w:rsidP="00CA2512">
            <w:pPr>
              <w:jc w:val="center"/>
              <w:rPr>
                <w:rFonts w:ascii="Arial" w:hAnsi="Arial" w:cs="Arial"/>
                <w:b/>
              </w:rPr>
            </w:pPr>
          </w:p>
          <w:p w:rsidR="00CA2512" w:rsidRDefault="00CA2512" w:rsidP="00CA25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</w:t>
            </w:r>
          </w:p>
          <w:p w:rsidR="00CA2512" w:rsidRDefault="00CA2512" w:rsidP="00CA2512">
            <w:pPr>
              <w:jc w:val="center"/>
              <w:rPr>
                <w:rFonts w:ascii="Arial" w:hAnsi="Arial" w:cs="Arial"/>
                <w:b/>
              </w:rPr>
            </w:pPr>
          </w:p>
          <w:p w:rsidR="00CA2512" w:rsidRDefault="00CA2512" w:rsidP="00CA2512">
            <w:pPr>
              <w:jc w:val="center"/>
              <w:rPr>
                <w:rFonts w:ascii="Arial" w:hAnsi="Arial" w:cs="Arial"/>
                <w:b/>
              </w:rPr>
            </w:pPr>
          </w:p>
          <w:p w:rsidR="00CA2512" w:rsidRPr="00625BF0" w:rsidRDefault="00CA2512" w:rsidP="00CA25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D83" w:rsidRDefault="00FE3D83" w:rsidP="00CA2512">
            <w:pPr>
              <w:jc w:val="center"/>
              <w:rPr>
                <w:rFonts w:ascii="Arial" w:hAnsi="Arial" w:cs="Arial"/>
                <w:b/>
              </w:rPr>
            </w:pPr>
          </w:p>
          <w:p w:rsidR="00030517" w:rsidRDefault="00FE3D83" w:rsidP="00CA25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</w:t>
            </w:r>
          </w:p>
          <w:p w:rsidR="00FE3D83" w:rsidRDefault="00FE3D83" w:rsidP="00CA2512">
            <w:pPr>
              <w:jc w:val="center"/>
              <w:rPr>
                <w:rFonts w:ascii="Arial" w:hAnsi="Arial" w:cs="Arial"/>
                <w:b/>
              </w:rPr>
            </w:pPr>
          </w:p>
          <w:p w:rsidR="00FE3D83" w:rsidRDefault="00FE3D83" w:rsidP="00CA2512">
            <w:pPr>
              <w:jc w:val="center"/>
              <w:rPr>
                <w:rFonts w:ascii="Arial" w:hAnsi="Arial" w:cs="Arial"/>
                <w:b/>
              </w:rPr>
            </w:pPr>
          </w:p>
          <w:p w:rsidR="00FE3D83" w:rsidRPr="00625BF0" w:rsidRDefault="00FE3D83" w:rsidP="00CA25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517" w:rsidRDefault="00030517" w:rsidP="00CA251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FE3D83" w:rsidRDefault="00FE3D83" w:rsidP="00CA251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103</w:t>
            </w:r>
          </w:p>
          <w:p w:rsidR="00FE3D83" w:rsidRDefault="00FE3D83" w:rsidP="00CA251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FE3D83" w:rsidRDefault="00FE3D83" w:rsidP="00CA251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FE3D83" w:rsidRDefault="00FE3D83" w:rsidP="00CA251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21</w:t>
            </w:r>
          </w:p>
          <w:p w:rsidR="00FE3D83" w:rsidRPr="005B4C7B" w:rsidRDefault="00FE3D83" w:rsidP="00CA251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21B61" w:rsidRPr="00301AC2" w:rsidTr="00CA2512">
        <w:trPr>
          <w:trHeight w:val="93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ZADOVOLJSTVO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Zadovoljstvo s storitvami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zadovoljstva po anketni metodi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zadovoljstvo, merjeno 1 x letno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CA2512" w:rsidRDefault="00CA2512" w:rsidP="00CA2512">
            <w:pPr>
              <w:jc w:val="center"/>
              <w:rPr>
                <w:rFonts w:ascii="Arial" w:hAnsi="Arial" w:cs="Arial"/>
                <w:b/>
              </w:rPr>
            </w:pPr>
            <w:r w:rsidRPr="00CA251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CA2512" w:rsidRDefault="00CA2512" w:rsidP="00CA25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CA2512" w:rsidRDefault="00FE3D83" w:rsidP="00CA25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CA2512" w:rsidRDefault="00FE3D83" w:rsidP="00CA251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134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</w:rPr>
      </w:pPr>
    </w:p>
    <w:p w:rsidR="00721B61" w:rsidRDefault="00721B61" w:rsidP="00721B61">
      <w:pPr>
        <w:rPr>
          <w:rFonts w:ascii="Arial" w:hAnsi="Arial" w:cs="Arial"/>
          <w:b/>
        </w:rPr>
      </w:pPr>
    </w:p>
    <w:p w:rsidR="00721B61" w:rsidRPr="004D0D32" w:rsidRDefault="00721B61" w:rsidP="00721B61">
      <w:pPr>
        <w:rPr>
          <w:rFonts w:ascii="Arial" w:hAnsi="Arial" w:cs="Arial"/>
          <w:b/>
        </w:rPr>
      </w:pPr>
    </w:p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FE3D83" w:rsidP="00721B6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13BDD0B4" wp14:editId="180F7077">
            <wp:extent cx="8633460" cy="3017520"/>
            <wp:effectExtent l="0" t="0" r="15240" b="1143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31505C" w:rsidRDefault="0031505C" w:rsidP="00721B61">
      <w:pPr>
        <w:rPr>
          <w:rFonts w:ascii="Arial" w:hAnsi="Arial" w:cs="Arial"/>
          <w:b/>
          <w:sz w:val="16"/>
          <w:szCs w:val="16"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9425CD" w:rsidRDefault="009425CD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FE3D83" w:rsidRDefault="00FE3D83" w:rsidP="00721B61">
      <w:pPr>
        <w:rPr>
          <w:rFonts w:ascii="Arial" w:hAnsi="Arial" w:cs="Arial"/>
          <w:b/>
        </w:rPr>
      </w:pPr>
    </w:p>
    <w:p w:rsidR="00FE3D83" w:rsidRDefault="00FE3D83" w:rsidP="00721B61">
      <w:pPr>
        <w:rPr>
          <w:rFonts w:ascii="Arial" w:hAnsi="Arial" w:cs="Arial"/>
          <w:b/>
        </w:rPr>
      </w:pPr>
    </w:p>
    <w:p w:rsidR="00FE3D83" w:rsidRDefault="00FE3D83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DF4395" w:rsidRDefault="00DF4395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5F2B4F" w:rsidRDefault="005F2B4F" w:rsidP="00721B61">
      <w:pPr>
        <w:rPr>
          <w:rFonts w:ascii="Arial" w:hAnsi="Arial" w:cs="Arial"/>
          <w:b/>
        </w:rPr>
      </w:pPr>
    </w:p>
    <w:p w:rsidR="009425CD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PERSPEKTIVA NOTRANJIH PROCESOV</w:t>
      </w:r>
    </w:p>
    <w:p w:rsidR="009425CD" w:rsidRDefault="009425CD" w:rsidP="001470B2">
      <w:pPr>
        <w:ind w:left="7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1915"/>
        <w:gridCol w:w="1836"/>
        <w:gridCol w:w="1925"/>
        <w:gridCol w:w="1736"/>
        <w:gridCol w:w="1578"/>
        <w:gridCol w:w="1578"/>
        <w:gridCol w:w="1578"/>
      </w:tblGrid>
      <w:tr w:rsidR="00721B61" w:rsidRPr="00301AC2" w:rsidTr="005F3F53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NOTRANJIH PROCESOV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-september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DF4395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SNOVANJE</w:t>
            </w:r>
            <w:r w:rsidR="00721B61"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 RAZVOJ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tabs>
                <w:tab w:val="left" w:pos="49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tabs>
                <w:tab w:val="left" w:pos="495"/>
              </w:tabs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Načrtovanje in razvijanje dejavnosti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projektov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števila načrtovanih projektov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76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PRISKRBA VIROV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virov potrebnih za izvajanje dejavnosti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realizacije planiranih virov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obsega načrtovanih virov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522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522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101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NABAVA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Nabava surovin, storitev in gradbenih del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realizacije planiranega obsega nabave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obsega načrtovanih nabav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95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OSKRBA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storitev oskrbe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oskrbnih dni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realizacije načrtovanega letnega obsega  oskrbnih dni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DF439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104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ZDRAVSTVENA NEGA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storitev zdravstvene nege in rehabilitacije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negovalnih dni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števila dni zdravstvene nege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101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PREHRANA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Priprava starosti in zdravstvenemu stanju primerne  prehrane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obrokov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obsega števila obrokov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120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RAČUNOVODSTVO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informacij o finančnem stanju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analiz realizacije finančnega načrta</w:t>
            </w:r>
            <w:r w:rsidR="00B7599B">
              <w:rPr>
                <w:rFonts w:ascii="Arial" w:hAnsi="Arial" w:cs="Arial"/>
                <w:sz w:val="18"/>
                <w:szCs w:val="18"/>
              </w:rPr>
              <w:t>, v številu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4 analize letno (vsako tromesečje)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B70FC8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VZDRŽEVANJE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Odprava napak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B759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Odprava napak 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24.</w:t>
            </w:r>
            <w:r w:rsidR="00B7599B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rah</w:t>
            </w:r>
            <w:proofErr w:type="spellEnd"/>
            <w:r w:rsidR="00B7599B">
              <w:rPr>
                <w:rFonts w:ascii="Arial" w:hAnsi="Arial" w:cs="Arial"/>
                <w:sz w:val="18"/>
                <w:szCs w:val="18"/>
              </w:rPr>
              <w:t>, v %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Default="00611252" w:rsidP="005F3F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721B61">
              <w:rPr>
                <w:rFonts w:ascii="Arial" w:hAnsi="Arial" w:cs="Arial"/>
                <w:sz w:val="18"/>
                <w:szCs w:val="18"/>
              </w:rPr>
              <w:t xml:space="preserve"> % odpravljenih napak </w:t>
            </w:r>
          </w:p>
          <w:p w:rsidR="001470B2" w:rsidRPr="00301AC2" w:rsidRDefault="001470B2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92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1470B2" w:rsidRDefault="001470B2" w:rsidP="00721B61">
      <w:pPr>
        <w:rPr>
          <w:rFonts w:ascii="Arial" w:hAnsi="Arial" w:cs="Arial"/>
          <w:b/>
          <w:sz w:val="16"/>
          <w:szCs w:val="16"/>
        </w:rPr>
      </w:pPr>
    </w:p>
    <w:p w:rsidR="000E2501" w:rsidRDefault="000E2501" w:rsidP="00721B61">
      <w:pPr>
        <w:rPr>
          <w:rFonts w:ascii="Arial" w:hAnsi="Arial" w:cs="Arial"/>
          <w:b/>
          <w:sz w:val="16"/>
          <w:szCs w:val="16"/>
        </w:rPr>
      </w:pPr>
    </w:p>
    <w:p w:rsidR="00721B61" w:rsidRPr="000B02CF" w:rsidRDefault="00721B61" w:rsidP="00721B61">
      <w:pPr>
        <w:rPr>
          <w:rFonts w:ascii="Arial" w:hAnsi="Arial" w:cs="Arial"/>
          <w:b/>
          <w:sz w:val="16"/>
          <w:szCs w:val="16"/>
        </w:rPr>
      </w:pPr>
      <w:r w:rsidRPr="000B02CF">
        <w:rPr>
          <w:rFonts w:ascii="Arial" w:hAnsi="Arial" w:cs="Arial"/>
          <w:b/>
          <w:sz w:val="16"/>
          <w:szCs w:val="16"/>
        </w:rPr>
        <w:t xml:space="preserve">   </w:t>
      </w:r>
    </w:p>
    <w:p w:rsidR="0067099E" w:rsidRDefault="0067099E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FE3D83" w:rsidP="00721B61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F71E58D" wp14:editId="6F800C4A">
            <wp:extent cx="8770620" cy="3139440"/>
            <wp:effectExtent l="0" t="0" r="11430" b="2286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FE3D83" w:rsidRDefault="00FE3D83" w:rsidP="00721B61">
      <w:pPr>
        <w:jc w:val="both"/>
        <w:rPr>
          <w:rFonts w:ascii="Arial" w:hAnsi="Arial" w:cs="Arial"/>
        </w:rPr>
      </w:pPr>
    </w:p>
    <w:p w:rsidR="00FE3D83" w:rsidRDefault="00FE3D83" w:rsidP="00721B61">
      <w:pPr>
        <w:jc w:val="both"/>
        <w:rPr>
          <w:rFonts w:ascii="Arial" w:hAnsi="Arial" w:cs="Arial"/>
        </w:rPr>
      </w:pPr>
    </w:p>
    <w:p w:rsidR="00FE3D83" w:rsidRDefault="00FE3D83" w:rsidP="00721B61">
      <w:pPr>
        <w:jc w:val="both"/>
        <w:rPr>
          <w:rFonts w:ascii="Arial" w:hAnsi="Arial" w:cs="Arial"/>
        </w:rPr>
      </w:pPr>
    </w:p>
    <w:p w:rsidR="00FE3D83" w:rsidRDefault="00FE3D83" w:rsidP="00721B61">
      <w:pPr>
        <w:jc w:val="both"/>
        <w:rPr>
          <w:rFonts w:ascii="Arial" w:hAnsi="Arial" w:cs="Arial"/>
        </w:rPr>
      </w:pPr>
    </w:p>
    <w:p w:rsidR="00FE3D83" w:rsidRDefault="00FE3D83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5F2B4F" w:rsidRDefault="005F2B4F" w:rsidP="00721B61">
      <w:pPr>
        <w:jc w:val="both"/>
        <w:rPr>
          <w:rFonts w:ascii="Arial" w:hAnsi="Arial" w:cs="Arial"/>
        </w:rPr>
      </w:pP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PERSPEKTIVA FINANČNIH SREDSTEV</w:t>
      </w:r>
    </w:p>
    <w:p w:rsidR="00721B61" w:rsidRPr="004D0D32" w:rsidRDefault="00721B61" w:rsidP="00721B61">
      <w:pPr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810"/>
        <w:gridCol w:w="1765"/>
        <w:gridCol w:w="1898"/>
        <w:gridCol w:w="1706"/>
        <w:gridCol w:w="1687"/>
        <w:gridCol w:w="1687"/>
        <w:gridCol w:w="1687"/>
      </w:tblGrid>
      <w:tr w:rsidR="00721B61" w:rsidRPr="00301AC2" w:rsidTr="005F3F53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FINANČNI KAZALNIKI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 xml:space="preserve">januar-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januar -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december</w:t>
            </w:r>
          </w:p>
        </w:tc>
      </w:tr>
      <w:tr w:rsidR="00721B61" w:rsidRPr="00301AC2" w:rsidTr="004B05AE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REALIZACIJA PRIHODKOV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od plačnikov storitev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611252" w:rsidRDefault="00B7599B" w:rsidP="006112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11252" w:rsidRPr="00611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1B61" w:rsidRPr="00611252">
              <w:rPr>
                <w:rFonts w:ascii="Arial" w:hAnsi="Arial" w:cs="Arial"/>
                <w:sz w:val="18"/>
                <w:szCs w:val="18"/>
              </w:rPr>
              <w:t xml:space="preserve"> % realizacija načrtovanega letnega obsega prihodkov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102</w:t>
            </w:r>
          </w:p>
        </w:tc>
      </w:tr>
      <w:tr w:rsidR="00721B61" w:rsidRPr="00301AC2" w:rsidTr="004B05AE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REALIZACIJA PRIHODKOV 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OSKRBE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plačnikov storitev oskrbe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082CB0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obsega prihodkov oskrbe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102</w:t>
            </w:r>
          </w:p>
        </w:tc>
      </w:tr>
      <w:tr w:rsidR="00721B61" w:rsidRPr="00301AC2" w:rsidTr="004B05AE">
        <w:trPr>
          <w:trHeight w:val="99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REALIZACIJA PRIHODKOV ZDRAVSTVENE NEGE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ZZZS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E92BE3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realizacija načrtovanega letnega obsega prihodkov  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zdr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>. nege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4B05AE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RAVNANJE S FINANČNIMI SREDSTVI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Presežek prihodkov nad odhodki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Realizacija prihodkov v primerjavi z odhodki:  indeks = (prih / 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odh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Indeks (</w:t>
            </w:r>
            <w:proofErr w:type="spellStart"/>
            <w:r w:rsidRPr="00301AC2">
              <w:rPr>
                <w:rFonts w:ascii="Arial" w:hAnsi="Arial" w:cs="Arial"/>
                <w:sz w:val="18"/>
                <w:szCs w:val="18"/>
              </w:rPr>
              <w:t>Ix</w:t>
            </w:r>
            <w:proofErr w:type="spellEnd"/>
            <w:r w:rsidRPr="00301AC2">
              <w:rPr>
                <w:rFonts w:ascii="Arial" w:hAnsi="Arial" w:cs="Arial"/>
                <w:sz w:val="18"/>
                <w:szCs w:val="18"/>
              </w:rPr>
              <w:t xml:space="preserve">) je enak ali večji od </w:t>
            </w:r>
            <w:r w:rsidR="00611252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721B61" w:rsidRPr="00301AC2" w:rsidRDefault="00721B61" w:rsidP="005F3F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4B05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4B05A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</w:tbl>
    <w:p w:rsidR="00721B61" w:rsidRDefault="00721B61" w:rsidP="00721B61">
      <w:pPr>
        <w:rPr>
          <w:rFonts w:ascii="Arial" w:hAnsi="Arial" w:cs="Arial"/>
          <w:b/>
        </w:rPr>
      </w:pPr>
    </w:p>
    <w:p w:rsidR="00721B61" w:rsidRDefault="00721B61" w:rsidP="00721B61">
      <w:pPr>
        <w:rPr>
          <w:rFonts w:ascii="Arial" w:hAnsi="Arial" w:cs="Arial"/>
          <w:b/>
          <w:sz w:val="16"/>
          <w:szCs w:val="16"/>
        </w:rPr>
      </w:pPr>
    </w:p>
    <w:p w:rsidR="005F2B4F" w:rsidRDefault="00FE3D83" w:rsidP="00721B6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716AF4CC" wp14:editId="46E6D983">
            <wp:extent cx="8900160" cy="1752600"/>
            <wp:effectExtent l="0" t="0" r="15240" b="1905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1B61" w:rsidRPr="004D0D32" w:rsidRDefault="00721B61" w:rsidP="00721B6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UČENJE IN RAST</w:t>
      </w:r>
    </w:p>
    <w:p w:rsidR="00721B61" w:rsidRPr="004D0D32" w:rsidRDefault="00721B61" w:rsidP="00721B6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1912"/>
        <w:gridCol w:w="1922"/>
        <w:gridCol w:w="1922"/>
        <w:gridCol w:w="1714"/>
        <w:gridCol w:w="1549"/>
        <w:gridCol w:w="1549"/>
        <w:gridCol w:w="1549"/>
      </w:tblGrid>
      <w:tr w:rsidR="00721B61" w:rsidRPr="00301AC2" w:rsidTr="005F3F53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UČENJA IN RASTI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 xml:space="preserve">Realizacija 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 september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721B61" w:rsidRPr="00301AC2" w:rsidTr="00B70FC8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ŠTEVILO DELAVCEV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Izpolnjevanje kadrovskih normativov obsega zaposlenih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delavcev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realizacije načrtovanega letnega števila delavcev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104</w:t>
            </w:r>
          </w:p>
        </w:tc>
      </w:tr>
      <w:tr w:rsidR="00721B61" w:rsidRPr="00301AC2" w:rsidTr="00B70FC8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STRUKTURA ZAPOSLENIH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Izpolnjevanje kadrovskih  normativov strukture zaposlenih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ustrezno strokovno usposobljenih delavcev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</w:t>
            </w:r>
            <w:r w:rsidR="00611252">
              <w:rPr>
                <w:rFonts w:ascii="Arial" w:hAnsi="Arial" w:cs="Arial"/>
                <w:sz w:val="18"/>
                <w:szCs w:val="18"/>
              </w:rPr>
              <w:t>9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ustrezno strokovno usposobljenih delavcev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B70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B70FC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721B61" w:rsidRPr="00301AC2" w:rsidTr="00A52D32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DODATNO STROKOVNO IZPOPOLNJEVANJE 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Dvig strokovne usposobljenosti zaposlenih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ur dodatnega strokovnega izpopolnjevanja na zaposlenega</w:t>
            </w: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načrtovanega števila ur dodatnega strokovnega izpopolnjevanja na zaposlenega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A52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D32" w:rsidRPr="00625BF0" w:rsidRDefault="00CA2512" w:rsidP="00A52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A52D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DF439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109</w:t>
            </w:r>
          </w:p>
        </w:tc>
      </w:tr>
      <w:tr w:rsidR="00721B61" w:rsidRPr="00301AC2" w:rsidTr="00C2506E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FINANČNA SREDSTVA ZA STROKOVNO IZPOPOLNJEVANJE</w:t>
            </w:r>
          </w:p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Nenehno učenje in rast zaposlenih preko učeče se organizacije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Obseg  finančnih sredstev za nenehno učenje in rast, v </w:t>
            </w:r>
            <w:r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301AC2">
              <w:rPr>
                <w:rFonts w:ascii="Arial" w:hAnsi="Arial" w:cs="Arial"/>
                <w:sz w:val="18"/>
                <w:szCs w:val="18"/>
              </w:rPr>
              <w:t>na zaposlenega delavca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B61" w:rsidRPr="00301AC2" w:rsidRDefault="00721B61" w:rsidP="005F3F5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realizacija letnega načrtovanega obsega sredstev  za nenehno učenje in rast na zaposlenega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CA2512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C250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1B61" w:rsidRPr="00625BF0" w:rsidRDefault="00FE3D83" w:rsidP="00C2506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92</w:t>
            </w:r>
          </w:p>
        </w:tc>
      </w:tr>
    </w:tbl>
    <w:p w:rsidR="00721B61" w:rsidRPr="004D0D32" w:rsidRDefault="00721B61" w:rsidP="00721B61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721B61" w:rsidRDefault="00721B61" w:rsidP="001470B2">
      <w:pPr>
        <w:tabs>
          <w:tab w:val="left" w:pos="1590"/>
        </w:tabs>
        <w:rPr>
          <w:rFonts w:ascii="Arial" w:hAnsi="Arial" w:cs="Arial"/>
          <w:b/>
        </w:rPr>
      </w:pPr>
    </w:p>
    <w:p w:rsidR="00611252" w:rsidRDefault="00611252" w:rsidP="00721B61">
      <w:pPr>
        <w:rPr>
          <w:rFonts w:ascii="Arial" w:hAnsi="Arial" w:cs="Arial"/>
          <w:b/>
          <w:sz w:val="16"/>
          <w:szCs w:val="16"/>
        </w:rPr>
      </w:pPr>
    </w:p>
    <w:p w:rsidR="00611252" w:rsidRDefault="00FE3D83" w:rsidP="00721B61">
      <w:pPr>
        <w:rPr>
          <w:rFonts w:ascii="Arial" w:hAnsi="Arial" w:cs="Arial"/>
          <w:b/>
          <w:sz w:val="16"/>
          <w:szCs w:val="16"/>
        </w:rPr>
      </w:pPr>
      <w:bookmarkStart w:id="0" w:name="_GoBack"/>
      <w:r>
        <w:rPr>
          <w:noProof/>
        </w:rPr>
        <w:drawing>
          <wp:inline distT="0" distB="0" distL="0" distR="0" wp14:anchorId="18FC7104" wp14:editId="687F42D4">
            <wp:extent cx="8496300" cy="2926080"/>
            <wp:effectExtent l="0" t="0" r="19050" b="2667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sectPr w:rsidR="00611252" w:rsidSect="008B1652">
      <w:footerReference w:type="default" r:id="rId12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55" w:rsidRDefault="00647755" w:rsidP="006F3E38">
      <w:r>
        <w:separator/>
      </w:r>
    </w:p>
  </w:endnote>
  <w:endnote w:type="continuationSeparator" w:id="0">
    <w:p w:rsidR="00647755" w:rsidRDefault="00647755" w:rsidP="006F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2657"/>
      <w:docPartObj>
        <w:docPartGallery w:val="Page Numbers (Bottom of Page)"/>
        <w:docPartUnique/>
      </w:docPartObj>
    </w:sdtPr>
    <w:sdtEndPr/>
    <w:sdtContent>
      <w:p w:rsidR="005F3F53" w:rsidRDefault="00670A73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D8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F3F53" w:rsidRDefault="005F3F5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55" w:rsidRDefault="00647755" w:rsidP="006F3E38">
      <w:r>
        <w:separator/>
      </w:r>
    </w:p>
  </w:footnote>
  <w:footnote w:type="continuationSeparator" w:id="0">
    <w:p w:rsidR="00647755" w:rsidRDefault="00647755" w:rsidP="006F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D50"/>
    <w:multiLevelType w:val="hybridMultilevel"/>
    <w:tmpl w:val="00C624C0"/>
    <w:lvl w:ilvl="0" w:tplc="3C68E18A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32322"/>
    <w:multiLevelType w:val="hybridMultilevel"/>
    <w:tmpl w:val="2662DCB4"/>
    <w:lvl w:ilvl="0" w:tplc="F880D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85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68F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781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279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A4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CD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C6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82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F4622"/>
    <w:multiLevelType w:val="hybridMultilevel"/>
    <w:tmpl w:val="E71E2DA0"/>
    <w:lvl w:ilvl="0" w:tplc="31668800">
      <w:start w:val="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F7643"/>
    <w:multiLevelType w:val="hybridMultilevel"/>
    <w:tmpl w:val="7318BF08"/>
    <w:lvl w:ilvl="0" w:tplc="3864A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E9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2449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0CB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8CA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08D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4D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4F5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2F5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61"/>
    <w:rsid w:val="00030517"/>
    <w:rsid w:val="000364A3"/>
    <w:rsid w:val="0006578F"/>
    <w:rsid w:val="00072095"/>
    <w:rsid w:val="000D27B8"/>
    <w:rsid w:val="000E2501"/>
    <w:rsid w:val="001226A2"/>
    <w:rsid w:val="001318D6"/>
    <w:rsid w:val="001470B2"/>
    <w:rsid w:val="001955B1"/>
    <w:rsid w:val="001E511E"/>
    <w:rsid w:val="00243EA4"/>
    <w:rsid w:val="00254C8E"/>
    <w:rsid w:val="0031505C"/>
    <w:rsid w:val="00356AD8"/>
    <w:rsid w:val="0036261E"/>
    <w:rsid w:val="00433AE4"/>
    <w:rsid w:val="00447C57"/>
    <w:rsid w:val="00455900"/>
    <w:rsid w:val="00461C8E"/>
    <w:rsid w:val="004B05AE"/>
    <w:rsid w:val="004B19FB"/>
    <w:rsid w:val="004B60B5"/>
    <w:rsid w:val="004E136E"/>
    <w:rsid w:val="00522008"/>
    <w:rsid w:val="0052554C"/>
    <w:rsid w:val="00541D15"/>
    <w:rsid w:val="00580B30"/>
    <w:rsid w:val="005B0D2F"/>
    <w:rsid w:val="005B4C7B"/>
    <w:rsid w:val="005F2109"/>
    <w:rsid w:val="005F2B4F"/>
    <w:rsid w:val="005F3F53"/>
    <w:rsid w:val="00604410"/>
    <w:rsid w:val="00604CA7"/>
    <w:rsid w:val="00611252"/>
    <w:rsid w:val="00611AB2"/>
    <w:rsid w:val="0064236C"/>
    <w:rsid w:val="00647755"/>
    <w:rsid w:val="00670325"/>
    <w:rsid w:val="0067099E"/>
    <w:rsid w:val="00670A73"/>
    <w:rsid w:val="006C7B5F"/>
    <w:rsid w:val="006F3E38"/>
    <w:rsid w:val="006F4B8E"/>
    <w:rsid w:val="00721B61"/>
    <w:rsid w:val="007532D4"/>
    <w:rsid w:val="007777DA"/>
    <w:rsid w:val="0078700C"/>
    <w:rsid w:val="00811159"/>
    <w:rsid w:val="0083673F"/>
    <w:rsid w:val="00836A7A"/>
    <w:rsid w:val="0086727B"/>
    <w:rsid w:val="008778ED"/>
    <w:rsid w:val="008A7A16"/>
    <w:rsid w:val="008B1652"/>
    <w:rsid w:val="008B64F6"/>
    <w:rsid w:val="009061C6"/>
    <w:rsid w:val="009425CD"/>
    <w:rsid w:val="009571F5"/>
    <w:rsid w:val="00991475"/>
    <w:rsid w:val="00A057E5"/>
    <w:rsid w:val="00A52D32"/>
    <w:rsid w:val="00B12EEE"/>
    <w:rsid w:val="00B1365C"/>
    <w:rsid w:val="00B3351D"/>
    <w:rsid w:val="00B364C7"/>
    <w:rsid w:val="00B36564"/>
    <w:rsid w:val="00B42204"/>
    <w:rsid w:val="00B70FC8"/>
    <w:rsid w:val="00B7599B"/>
    <w:rsid w:val="00BF2DF0"/>
    <w:rsid w:val="00C12574"/>
    <w:rsid w:val="00C2506E"/>
    <w:rsid w:val="00C250E3"/>
    <w:rsid w:val="00CA2512"/>
    <w:rsid w:val="00CA374D"/>
    <w:rsid w:val="00CE0A40"/>
    <w:rsid w:val="00CE4027"/>
    <w:rsid w:val="00D03B4F"/>
    <w:rsid w:val="00D11217"/>
    <w:rsid w:val="00D31906"/>
    <w:rsid w:val="00D43EE9"/>
    <w:rsid w:val="00D471C1"/>
    <w:rsid w:val="00D47561"/>
    <w:rsid w:val="00DF4395"/>
    <w:rsid w:val="00E347D2"/>
    <w:rsid w:val="00E8110C"/>
    <w:rsid w:val="00EB11A8"/>
    <w:rsid w:val="00F0699A"/>
    <w:rsid w:val="00F64C5D"/>
    <w:rsid w:val="00F90CA9"/>
    <w:rsid w:val="00FB5803"/>
    <w:rsid w:val="00FB6700"/>
    <w:rsid w:val="00FB6AEA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1B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1B61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1125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6F3E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3E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1B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1B61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1125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6F3E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3E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3E3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ODJEMALCI</a:t>
            </a:r>
          </a:p>
        </c:rich>
      </c:tx>
      <c:layout>
        <c:manualLayout>
          <c:xMode val="edge"/>
          <c:yMode val="edge"/>
          <c:x val="0.45443786836146899"/>
          <c:y val="3.716207960038514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970414201183431E-2"/>
          <c:y val="0.30743243243243246"/>
          <c:w val="0.93017751479289945"/>
          <c:h val="0.57432432432432434"/>
        </c:manualLayout>
      </c:layout>
      <c:lineChart>
        <c:grouping val="standard"/>
        <c:varyColors val="0"/>
        <c:ser>
          <c:idx val="0"/>
          <c:order val="0"/>
          <c:tx>
            <c:strRef>
              <c:f>List1!$C$5</c:f>
              <c:strCache>
                <c:ptCount val="1"/>
                <c:pt idx="0">
                  <c:v>Standard uspešnosti (%)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99"/>
              </a:solidFill>
              <a:ln>
                <a:solidFill>
                  <a:srgbClr val="0033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3518344308560705E-2"/>
                  <c:y val="-3.70370370370370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2715584822829046E-3"/>
                  <c:y val="4.5267489711934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solidFill>
                      <a:srgbClr val="00800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List1!$C$6:$C$9</c:f>
              <c:numCache>
                <c:formatCode>#,##0</c:formatCode>
                <c:ptCount val="4"/>
                <c:pt idx="0">
                  <c:v>95</c:v>
                </c:pt>
                <c:pt idx="1">
                  <c:v>98</c:v>
                </c:pt>
                <c:pt idx="2">
                  <c:v>90</c:v>
                </c:pt>
                <c:pt idx="3">
                  <c:v>70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List1!$F$5</c:f>
              <c:strCache>
                <c:ptCount val="1"/>
                <c:pt idx="0">
                  <c:v>I. 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  <a:prstDash val="solid"/>
              </a:ln>
            </c:spPr>
          </c:marker>
          <c:dLbls>
            <c:dLbl>
              <c:idx val="1"/>
              <c:layout>
                <c:manualLayout>
                  <c:x val="-4.390090937597993E-2"/>
                  <c:y val="-3.29218106995884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862197392923638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List1!$F$6:$F$9</c:f>
              <c:numCache>
                <c:formatCode>#,##0</c:formatCode>
                <c:ptCount val="4"/>
                <c:pt idx="0">
                  <c:v>66</c:v>
                </c:pt>
                <c:pt idx="1">
                  <c:v>103</c:v>
                </c:pt>
                <c:pt idx="2">
                  <c:v>23</c:v>
                </c:pt>
                <c:pt idx="3">
                  <c:v>0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List1!$H$5</c:f>
              <c:strCache>
                <c:ptCount val="1"/>
                <c:pt idx="0">
                  <c:v>II. 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noFill/>
              </a:ln>
            </c:spPr>
          </c:marker>
          <c:dLbls>
            <c:dLbl>
              <c:idx val="1"/>
              <c:layout>
                <c:manualLayout>
                  <c:x val="1.2543116964565637E-2"/>
                  <c:y val="-4.115226337448635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List1!$H$6:$H$9</c:f>
              <c:numCache>
                <c:formatCode>#,##0</c:formatCode>
                <c:ptCount val="4"/>
                <c:pt idx="0">
                  <c:v>78</c:v>
                </c:pt>
                <c:pt idx="1">
                  <c:v>103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List1!$J$5</c:f>
              <c:strCache>
                <c:ptCount val="1"/>
                <c:pt idx="0">
                  <c:v>III. 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2.6654123549702074E-2"/>
                  <c:y val="-4.115226337448559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748862197412603E-17"/>
                  <c:y val="-3.703703703703703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715584822828473E-3"/>
                  <c:y val="-1.24146492861577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5678896205707234E-2"/>
                  <c:y val="-4.034761018001241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List1!$J$6:$J$9</c:f>
              <c:numCache>
                <c:formatCode>#,##0</c:formatCode>
                <c:ptCount val="4"/>
                <c:pt idx="0">
                  <c:v>94</c:v>
                </c:pt>
                <c:pt idx="1">
                  <c:v>103</c:v>
                </c:pt>
                <c:pt idx="2">
                  <c:v>23</c:v>
                </c:pt>
                <c:pt idx="3">
                  <c:v>134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List1!$L$5</c:f>
              <c:strCache>
                <c:ptCount val="1"/>
                <c:pt idx="0">
                  <c:v>IV. 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List1!$L$6:$L$9</c:f>
              <c:numCache>
                <c:formatCode>#,##0</c:formatCode>
                <c:ptCount val="4"/>
                <c:pt idx="0">
                  <c:v>117</c:v>
                </c:pt>
                <c:pt idx="1">
                  <c:v>103</c:v>
                </c:pt>
                <c:pt idx="2">
                  <c:v>21</c:v>
                </c:pt>
                <c:pt idx="3">
                  <c:v>134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9985408"/>
        <c:axId val="251844224"/>
      </c:lineChart>
      <c:catAx>
        <c:axId val="25998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251844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18442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25998540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052197144218685"/>
          <c:y val="0.11358402127108413"/>
          <c:w val="0.69428275839932052"/>
          <c:h val="4.6915155158677779E-2"/>
        </c:manualLayout>
      </c:layout>
      <c:overlay val="0"/>
      <c:spPr>
        <a:solidFill>
          <a:srgbClr val="FFFFFF"/>
        </a:solidFill>
        <a:ln w="3175">
          <a:solidFill>
            <a:srgbClr val="969696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PROCESI</a:t>
            </a:r>
          </a:p>
        </c:rich>
      </c:tx>
      <c:layout>
        <c:manualLayout>
          <c:xMode val="edge"/>
          <c:yMode val="edge"/>
          <c:x val="0.46424399512387821"/>
          <c:y val="3.716206492465204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5580353795172481E-2"/>
          <c:y val="0.36148648648648651"/>
          <c:w val="0.8886288791334348"/>
          <c:h val="0.32770270270270269"/>
        </c:manualLayout>
      </c:layout>
      <c:lineChart>
        <c:grouping val="standard"/>
        <c:varyColors val="0"/>
        <c:ser>
          <c:idx val="0"/>
          <c:order val="0"/>
          <c:tx>
            <c:strRef>
              <c:f>List1!$C$39</c:f>
              <c:strCache>
                <c:ptCount val="1"/>
                <c:pt idx="0">
                  <c:v>Standard uspešnosti (%)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99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0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389350569405972E-3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6426966905351772E-17"/>
                  <c:y val="-2.17580504786771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389350569405972E-3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389350569405972E-3"/>
                  <c:y val="-2.610966057441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389350569404842E-3"/>
                  <c:y val="-1.7406440382941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1285393381070354E-16"/>
                  <c:y val="-1.7406440382941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8467220683287277E-2"/>
                  <c:y val="-6.52741514360313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solidFill>
                      <a:srgbClr val="009900"/>
                    </a:solidFill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List1!$A$40:$B$47</c:f>
              <c:strCache>
                <c:ptCount val="8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List1!$C$40:$C$47</c:f>
              <c:numCache>
                <c:formatCode>#,##0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85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List1!$F$39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4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5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7"/>
              <c:layout>
                <c:manualLayout>
                  <c:x val="0"/>
                  <c:y val="1.740644038294168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List1!$A$40:$B$47</c:f>
              <c:strCache>
                <c:ptCount val="8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List1!$F$40:$F$47</c:f>
              <c:numCache>
                <c:formatCode>#,##0</c:formatCode>
                <c:ptCount val="8"/>
                <c:pt idx="0">
                  <c:v>15</c:v>
                </c:pt>
                <c:pt idx="1">
                  <c:v>62.67</c:v>
                </c:pt>
                <c:pt idx="2">
                  <c:v>6</c:v>
                </c:pt>
                <c:pt idx="3">
                  <c:v>26</c:v>
                </c:pt>
                <c:pt idx="4">
                  <c:v>45</c:v>
                </c:pt>
                <c:pt idx="5">
                  <c:v>35</c:v>
                </c:pt>
                <c:pt idx="6">
                  <c:v>25</c:v>
                </c:pt>
                <c:pt idx="7">
                  <c:v>101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List1!$H$39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4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Pt>
            <c:idx val="5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List1!$A$40:$B$47</c:f>
              <c:strCache>
                <c:ptCount val="8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List1!$H$40:$H$47</c:f>
              <c:numCache>
                <c:formatCode>#,##0</c:formatCode>
                <c:ptCount val="8"/>
                <c:pt idx="0">
                  <c:v>28</c:v>
                </c:pt>
                <c:pt idx="1">
                  <c:v>75.2</c:v>
                </c:pt>
                <c:pt idx="2">
                  <c:v>48</c:v>
                </c:pt>
                <c:pt idx="3">
                  <c:v>51</c:v>
                </c:pt>
                <c:pt idx="4">
                  <c:v>82</c:v>
                </c:pt>
                <c:pt idx="5">
                  <c:v>60</c:v>
                </c:pt>
                <c:pt idx="6">
                  <c:v>50</c:v>
                </c:pt>
                <c:pt idx="7">
                  <c:v>98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List1!$J$39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7"/>
              <c:layout>
                <c:manualLayout>
                  <c:x val="6.1557402277623886E-3"/>
                  <c:y val="-8.703220191470843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List1!$A$40:$B$47</c:f>
              <c:strCache>
                <c:ptCount val="8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List1!$J$40:$J$47</c:f>
              <c:numCache>
                <c:formatCode>0</c:formatCode>
                <c:ptCount val="8"/>
                <c:pt idx="0">
                  <c:v>46</c:v>
                </c:pt>
                <c:pt idx="1">
                  <c:v>87.6</c:v>
                </c:pt>
                <c:pt idx="2" formatCode="General">
                  <c:v>75</c:v>
                </c:pt>
                <c:pt idx="3">
                  <c:v>77</c:v>
                </c:pt>
                <c:pt idx="4">
                  <c:v>75</c:v>
                </c:pt>
                <c:pt idx="5">
                  <c:v>88</c:v>
                </c:pt>
                <c:pt idx="6">
                  <c:v>75</c:v>
                </c:pt>
                <c:pt idx="7">
                  <c:v>91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List1!$L$39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List1!$A$40:$B$47</c:f>
              <c:strCache>
                <c:ptCount val="8"/>
                <c:pt idx="0">
                  <c:v>Snovanje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List1!$L$40:$L$47</c:f>
              <c:numCache>
                <c:formatCode>0</c:formatCode>
                <c:ptCount val="8"/>
                <c:pt idx="0">
                  <c:v>76</c:v>
                </c:pt>
                <c:pt idx="1">
                  <c:v>101</c:v>
                </c:pt>
                <c:pt idx="2">
                  <c:v>95</c:v>
                </c:pt>
                <c:pt idx="3">
                  <c:v>104</c:v>
                </c:pt>
                <c:pt idx="4">
                  <c:v>101</c:v>
                </c:pt>
                <c:pt idx="5">
                  <c:v>120</c:v>
                </c:pt>
                <c:pt idx="6">
                  <c:v>100</c:v>
                </c:pt>
                <c:pt idx="7">
                  <c:v>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9988480"/>
        <c:axId val="251845376"/>
      </c:lineChart>
      <c:catAx>
        <c:axId val="259988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88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2518453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18453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25998848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6251663140445397"/>
          <c:y val="0.12010820775340418"/>
          <c:w val="0.66945783439119977"/>
          <c:h val="4.9609725677240743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FINANCE</a:t>
            </a:r>
          </a:p>
        </c:rich>
      </c:tx>
      <c:layout>
        <c:manualLayout>
          <c:xMode val="edge"/>
          <c:yMode val="edge"/>
          <c:x val="0.46967920952225017"/>
          <c:y val="3.819462083368611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184330633366757E-2"/>
          <c:y val="0.3368066976138564"/>
          <c:w val="0.93222408464630357"/>
          <c:h val="0.54166850337898553"/>
        </c:manualLayout>
      </c:layout>
      <c:lineChart>
        <c:grouping val="standard"/>
        <c:varyColors val="0"/>
        <c:ser>
          <c:idx val="0"/>
          <c:order val="0"/>
          <c:tx>
            <c:strRef>
              <c:f>List1!$C$75</c:f>
              <c:strCache>
                <c:ptCount val="1"/>
                <c:pt idx="0">
                  <c:v>Standard uspešnosti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0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List1!$A$76:$B$79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List1!$C$76:$C$79</c:f>
              <c:numCache>
                <c:formatCode>#,##0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List1!$F$75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List1!$A$76:$B$79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List1!$F$76:$F$79</c:f>
              <c:numCache>
                <c:formatCode>#,##0</c:formatCode>
                <c:ptCount val="4"/>
                <c:pt idx="0">
                  <c:v>25.1</c:v>
                </c:pt>
                <c:pt idx="1">
                  <c:v>25.5</c:v>
                </c:pt>
                <c:pt idx="2">
                  <c:v>24.5</c:v>
                </c:pt>
                <c:pt idx="3">
                  <c:v>106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List1!$H$75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List1!$A$76:$B$79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List1!$H$76:$H$79</c:f>
              <c:numCache>
                <c:formatCode>#,##0</c:formatCode>
                <c:ptCount val="4"/>
                <c:pt idx="0">
                  <c:v>50</c:v>
                </c:pt>
                <c:pt idx="1">
                  <c:v>51</c:v>
                </c:pt>
                <c:pt idx="2">
                  <c:v>49</c:v>
                </c:pt>
                <c:pt idx="3">
                  <c:v>104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List1!$J$75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List1!$A$76:$B$79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List1!$J$76:$J$79</c:f>
              <c:numCache>
                <c:formatCode>#,##0</c:formatCode>
                <c:ptCount val="4"/>
                <c:pt idx="0">
                  <c:v>75</c:v>
                </c:pt>
                <c:pt idx="1">
                  <c:v>75</c:v>
                </c:pt>
                <c:pt idx="2">
                  <c:v>74</c:v>
                </c:pt>
                <c:pt idx="3">
                  <c:v>100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List1!$L$75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List1!$A$76:$B$79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List1!$L$76:$L$79</c:f>
              <c:numCache>
                <c:formatCode>#,##0</c:formatCode>
                <c:ptCount val="4"/>
                <c:pt idx="0">
                  <c:v>102</c:v>
                </c:pt>
                <c:pt idx="1">
                  <c:v>102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3926528"/>
        <c:axId val="243803264"/>
      </c:lineChart>
      <c:catAx>
        <c:axId val="24392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243803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38032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24392652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4.3479625302035738E-2"/>
          <c:y val="0.2043081308384839"/>
          <c:w val="0.93103091555899575"/>
          <c:h val="7.79594586966951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UČENJE IN RAST</a:t>
            </a:r>
          </a:p>
        </c:rich>
      </c:tx>
      <c:layout>
        <c:manualLayout>
          <c:xMode val="edge"/>
          <c:yMode val="edge"/>
          <c:x val="0.44230790462855624"/>
          <c:y val="3.57143892924986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5673103727548292E-2"/>
          <c:y val="0.41071500194440907"/>
          <c:w val="0.9014428367279268"/>
          <c:h val="0.46428652393715808"/>
        </c:manualLayout>
      </c:layout>
      <c:lineChart>
        <c:grouping val="standard"/>
        <c:varyColors val="0"/>
        <c:ser>
          <c:idx val="0"/>
          <c:order val="0"/>
          <c:tx>
            <c:strRef>
              <c:f>List1!$C$111</c:f>
              <c:strCache>
                <c:ptCount val="1"/>
                <c:pt idx="0">
                  <c:v>Standard uspešnosti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00"/>
              </a:solidFill>
              <a:ln>
                <a:solidFill>
                  <a:srgbClr val="008080"/>
                </a:solidFill>
                <a:prstDash val="solid"/>
              </a:ln>
            </c:spPr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List1!$A$112:$B$115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List1!$C$112:$C$115</c:f>
              <c:numCache>
                <c:formatCode>#,##0</c:formatCode>
                <c:ptCount val="4"/>
                <c:pt idx="0">
                  <c:v>100</c:v>
                </c:pt>
                <c:pt idx="1">
                  <c:v>99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List1!$F$111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2.07138304652645E-2"/>
                  <c:y val="6.906077348066298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307202039515674E-2"/>
                  <c:y val="7.366482504604052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List1!$A$112:$B$115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List1!$F$112:$F$115</c:f>
              <c:numCache>
                <c:formatCode>#,##0</c:formatCode>
                <c:ptCount val="4"/>
                <c:pt idx="0">
                  <c:v>102</c:v>
                </c:pt>
                <c:pt idx="1">
                  <c:v>100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List1!$H$111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Lbls>
            <c:dLbl>
              <c:idx val="0"/>
              <c:layout>
                <c:manualLayout>
                  <c:x val="9.5602294455066923E-3"/>
                  <c:y val="5.985267034990791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900573613766615E-2"/>
                  <c:y val="2.302025782688766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List1!$A$112:$B$115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List1!$H$112:$H$115</c:f>
              <c:numCache>
                <c:formatCode>#,##0</c:formatCode>
                <c:ptCount val="4"/>
                <c:pt idx="0">
                  <c:v>102</c:v>
                </c:pt>
                <c:pt idx="1">
                  <c:v>100</c:v>
                </c:pt>
                <c:pt idx="2">
                  <c:v>30</c:v>
                </c:pt>
                <c:pt idx="3">
                  <c:v>39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List1!$J$111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5933715742511154E-2"/>
                  <c:y val="-4.143646408839778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340344168260096E-2"/>
                  <c:y val="-1.84162062615101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sl-SI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List1!$A$112:$B$115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List1!$J$112:$J$115</c:f>
              <c:numCache>
                <c:formatCode>#,##0</c:formatCode>
                <c:ptCount val="4"/>
                <c:pt idx="0">
                  <c:v>101</c:v>
                </c:pt>
                <c:pt idx="1">
                  <c:v>100</c:v>
                </c:pt>
                <c:pt idx="2">
                  <c:v>51</c:v>
                </c:pt>
                <c:pt idx="3">
                  <c:v>43</c:v>
                </c:pt>
              </c:numCache>
            </c:numRef>
          </c:val>
          <c:smooth val="0"/>
        </c:ser>
        <c:ser>
          <c:idx val="9"/>
          <c:order val="4"/>
          <c:tx>
            <c:strRef>
              <c:f>List1!$L$111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00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List1!$A$112:$B$115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List1!$L$112:$L$115</c:f>
              <c:numCache>
                <c:formatCode>#,##0</c:formatCode>
                <c:ptCount val="4"/>
                <c:pt idx="0">
                  <c:v>104</c:v>
                </c:pt>
                <c:pt idx="1">
                  <c:v>100</c:v>
                </c:pt>
                <c:pt idx="2">
                  <c:v>109</c:v>
                </c:pt>
                <c:pt idx="3">
                  <c:v>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3927552"/>
        <c:axId val="243804992"/>
      </c:lineChart>
      <c:catAx>
        <c:axId val="243927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243804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38049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24392755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4.3978435534946271E-2"/>
          <c:y val="0.19890155305172488"/>
          <c:w val="0.90155861850920649"/>
          <c:h val="8.0113034903786212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DSO Črnomelj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Krajnc</dc:creator>
  <cp:lastModifiedBy>ksenija</cp:lastModifiedBy>
  <cp:revision>7</cp:revision>
  <cp:lastPrinted>2015-10-23T11:47:00Z</cp:lastPrinted>
  <dcterms:created xsi:type="dcterms:W3CDTF">2017-08-31T10:33:00Z</dcterms:created>
  <dcterms:modified xsi:type="dcterms:W3CDTF">2018-03-09T12:42:00Z</dcterms:modified>
</cp:coreProperties>
</file>