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EB6307" w:rsidRDefault="00CA0DD9" w:rsidP="00CA0DD9">
      <w:pPr>
        <w:jc w:val="center"/>
        <w:rPr>
          <w:b/>
          <w:sz w:val="20"/>
          <w:szCs w:val="20"/>
        </w:rPr>
      </w:pPr>
      <w:r w:rsidRPr="00EB6307">
        <w:rPr>
          <w:b/>
          <w:sz w:val="20"/>
          <w:szCs w:val="20"/>
        </w:rPr>
        <w:t>ZAPISNIK</w:t>
      </w:r>
    </w:p>
    <w:p w:rsidR="00CA0DD9" w:rsidRPr="00EB6307" w:rsidRDefault="00C12E4E" w:rsidP="00CA0DD9">
      <w:pPr>
        <w:jc w:val="center"/>
        <w:rPr>
          <w:b/>
          <w:sz w:val="20"/>
          <w:szCs w:val="20"/>
        </w:rPr>
      </w:pPr>
      <w:r w:rsidRPr="00EB6307">
        <w:rPr>
          <w:b/>
          <w:sz w:val="20"/>
          <w:szCs w:val="20"/>
        </w:rPr>
        <w:t xml:space="preserve"> </w:t>
      </w:r>
      <w:r w:rsidR="00CA0DD9" w:rsidRPr="00EB6307">
        <w:rPr>
          <w:b/>
          <w:sz w:val="20"/>
          <w:szCs w:val="20"/>
        </w:rPr>
        <w:t xml:space="preserve"> seje </w:t>
      </w:r>
      <w:r w:rsidR="00575ED8" w:rsidRPr="00EB6307">
        <w:rPr>
          <w:b/>
          <w:sz w:val="20"/>
          <w:szCs w:val="20"/>
        </w:rPr>
        <w:t>S</w:t>
      </w:r>
      <w:r w:rsidR="00A34BC9" w:rsidRPr="00EB6307">
        <w:rPr>
          <w:b/>
          <w:sz w:val="20"/>
          <w:szCs w:val="20"/>
        </w:rPr>
        <w:t>trokovnega sveta DSO Črnomelj</w:t>
      </w:r>
      <w:r w:rsidR="00CA0DD9" w:rsidRPr="00EB6307">
        <w:rPr>
          <w:b/>
          <w:sz w:val="20"/>
          <w:szCs w:val="20"/>
        </w:rPr>
        <w:t xml:space="preserve">, z dne </w:t>
      </w:r>
      <w:r w:rsidR="00D53933" w:rsidRPr="00EB6307">
        <w:rPr>
          <w:b/>
          <w:sz w:val="20"/>
          <w:szCs w:val="20"/>
        </w:rPr>
        <w:t>10.11.2016</w:t>
      </w:r>
      <w:r w:rsidRPr="00EB6307">
        <w:rPr>
          <w:b/>
          <w:sz w:val="20"/>
          <w:szCs w:val="20"/>
        </w:rPr>
        <w:t xml:space="preserve"> </w:t>
      </w:r>
      <w:r w:rsidR="007B1B1B" w:rsidRPr="00EB6307">
        <w:rPr>
          <w:b/>
          <w:sz w:val="20"/>
          <w:szCs w:val="20"/>
        </w:rPr>
        <w:t>13.</w:t>
      </w:r>
      <w:r w:rsidR="00D53933" w:rsidRPr="00EB6307">
        <w:rPr>
          <w:b/>
          <w:sz w:val="20"/>
          <w:szCs w:val="20"/>
        </w:rPr>
        <w:t>00</w:t>
      </w:r>
      <w:r w:rsidR="00547004" w:rsidRPr="00EB6307">
        <w:rPr>
          <w:b/>
          <w:sz w:val="20"/>
          <w:szCs w:val="20"/>
        </w:rPr>
        <w:t xml:space="preserve"> uri v </w:t>
      </w:r>
      <w:r w:rsidR="00D34C0A" w:rsidRPr="00EB6307">
        <w:rPr>
          <w:b/>
          <w:sz w:val="20"/>
          <w:szCs w:val="20"/>
        </w:rPr>
        <w:t>pisarni direktor</w:t>
      </w:r>
      <w:r w:rsidR="00424E82" w:rsidRPr="00EB6307">
        <w:rPr>
          <w:b/>
          <w:sz w:val="20"/>
          <w:szCs w:val="20"/>
        </w:rPr>
        <w:t>ice</w:t>
      </w:r>
    </w:p>
    <w:p w:rsidR="00F8109C" w:rsidRPr="00EB6307" w:rsidRDefault="00F8109C" w:rsidP="00F8109C">
      <w:pPr>
        <w:rPr>
          <w:sz w:val="20"/>
          <w:szCs w:val="20"/>
        </w:rPr>
      </w:pPr>
    </w:p>
    <w:p w:rsidR="00F8109C" w:rsidRPr="00EB6307" w:rsidRDefault="00F8109C" w:rsidP="00F8109C">
      <w:pPr>
        <w:rPr>
          <w:sz w:val="20"/>
          <w:szCs w:val="20"/>
        </w:rPr>
      </w:pPr>
      <w:r w:rsidRPr="00EB6307">
        <w:rPr>
          <w:sz w:val="20"/>
          <w:szCs w:val="20"/>
        </w:rPr>
        <w:t>PRISOTNI:</w:t>
      </w:r>
    </w:p>
    <w:p w:rsidR="007A259C" w:rsidRPr="00EB6307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Valerija Lekič Poljšak</w:t>
      </w:r>
    </w:p>
    <w:p w:rsidR="007A259C" w:rsidRPr="00EB6307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 xml:space="preserve">Alenka Vipavec Mahmutovič </w:t>
      </w:r>
    </w:p>
    <w:p w:rsidR="007A259C" w:rsidRPr="00EB6307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Marija Bartolj</w:t>
      </w:r>
    </w:p>
    <w:p w:rsidR="007A259C" w:rsidRPr="00EB6307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7B1B1B" w:rsidRPr="00EB6307" w:rsidRDefault="007A259C" w:rsidP="007B1B1B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Mira Vlašič</w:t>
      </w:r>
      <w:r w:rsidR="007B1B1B" w:rsidRPr="00EB63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1B1B" w:rsidRPr="00EB6307" w:rsidRDefault="007B1B1B" w:rsidP="007B1B1B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Petra Simčič</w:t>
      </w:r>
    </w:p>
    <w:p w:rsidR="00566E7A" w:rsidRPr="00EB6307" w:rsidRDefault="00566E7A" w:rsidP="00566E7A">
      <w:pPr>
        <w:rPr>
          <w:b/>
          <w:sz w:val="20"/>
          <w:szCs w:val="20"/>
        </w:rPr>
      </w:pPr>
      <w:r w:rsidRPr="00EB6307">
        <w:rPr>
          <w:b/>
          <w:sz w:val="20"/>
          <w:szCs w:val="20"/>
        </w:rPr>
        <w:t>Dnevni red:</w:t>
      </w:r>
    </w:p>
    <w:p w:rsidR="00566E7A" w:rsidRPr="00EB6307" w:rsidRDefault="00D53933" w:rsidP="00566E7A">
      <w:pPr>
        <w:pStyle w:val="Odstavekseznama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EB6307">
        <w:rPr>
          <w:rFonts w:ascii="Times New Roman" w:hAnsi="Times New Roman" w:cs="Times New Roman"/>
          <w:b/>
          <w:sz w:val="20"/>
          <w:szCs w:val="20"/>
        </w:rPr>
        <w:t>Dodatek za neposredno delo z dementnimi osebami</w:t>
      </w:r>
    </w:p>
    <w:p w:rsidR="00D53933" w:rsidRPr="00EB6307" w:rsidRDefault="00D53933" w:rsidP="00D53933">
      <w:pPr>
        <w:jc w:val="both"/>
        <w:rPr>
          <w:bCs/>
          <w:sz w:val="20"/>
          <w:szCs w:val="20"/>
        </w:rPr>
      </w:pPr>
      <w:r w:rsidRPr="00EB6307">
        <w:rPr>
          <w:bCs/>
          <w:sz w:val="20"/>
          <w:szCs w:val="20"/>
        </w:rPr>
        <w:t>Ad/1</w:t>
      </w:r>
    </w:p>
    <w:p w:rsidR="00D53933" w:rsidRPr="00EB6307" w:rsidRDefault="00D53933" w:rsidP="00D53933">
      <w:pPr>
        <w:jc w:val="both"/>
        <w:rPr>
          <w:bCs/>
          <w:sz w:val="20"/>
          <w:szCs w:val="20"/>
        </w:rPr>
      </w:pPr>
      <w:r w:rsidRPr="00EB6307">
        <w:rPr>
          <w:bCs/>
          <w:sz w:val="20"/>
          <w:szCs w:val="20"/>
        </w:rPr>
        <w:t xml:space="preserve">Glede </w:t>
      </w:r>
      <w:r w:rsidR="00EB6307" w:rsidRPr="00EB6307">
        <w:rPr>
          <w:bCs/>
          <w:sz w:val="20"/>
          <w:szCs w:val="20"/>
        </w:rPr>
        <w:t>dogovora za nadaljnje delo ,na seji strokovnega sveta z dne 25.10.2016, ki se nanaša na vrednotenje neposrednega dela z dementnimi osebami, je strokovni svet sprejel</w:t>
      </w:r>
      <w:r w:rsidRPr="00EB6307">
        <w:rPr>
          <w:b/>
          <w:bCs/>
          <w:sz w:val="20"/>
          <w:szCs w:val="20"/>
        </w:rPr>
        <w:t xml:space="preserve"> </w:t>
      </w:r>
      <w:r w:rsidRPr="00EB6307">
        <w:rPr>
          <w:bCs/>
          <w:sz w:val="20"/>
          <w:szCs w:val="20"/>
        </w:rPr>
        <w:t xml:space="preserve">naslednje </w:t>
      </w:r>
      <w:r w:rsidRPr="00EB6307">
        <w:rPr>
          <w:b/>
          <w:bCs/>
          <w:sz w:val="20"/>
          <w:szCs w:val="20"/>
        </w:rPr>
        <w:t>ugotovitve oziroma sklepe</w:t>
      </w:r>
      <w:r w:rsidRPr="00EB6307">
        <w:rPr>
          <w:bCs/>
          <w:sz w:val="20"/>
          <w:szCs w:val="20"/>
        </w:rPr>
        <w:t>:</w:t>
      </w:r>
    </w:p>
    <w:p w:rsidR="00EB6307" w:rsidRPr="00EB6307" w:rsidRDefault="00EB6307" w:rsidP="00D53933">
      <w:pPr>
        <w:jc w:val="both"/>
        <w:rPr>
          <w:b/>
          <w:bCs/>
          <w:sz w:val="20"/>
          <w:szCs w:val="20"/>
        </w:rPr>
      </w:pPr>
    </w:p>
    <w:p w:rsidR="00D53933" w:rsidRPr="00EB6307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V Domu starejših občanov Črnomelj osebe niso nameščene v varovanem oddelku.</w:t>
      </w:r>
    </w:p>
    <w:p w:rsidR="00D53933" w:rsidRPr="00EB6307" w:rsidRDefault="00D53933" w:rsidP="00D53933">
      <w:pPr>
        <w:pStyle w:val="Odstavekseznama"/>
        <w:jc w:val="both"/>
        <w:rPr>
          <w:rFonts w:ascii="Times New Roman" w:hAnsi="Times New Roman" w:cs="Times New Roman"/>
          <w:sz w:val="20"/>
          <w:szCs w:val="20"/>
        </w:rPr>
      </w:pPr>
    </w:p>
    <w:p w:rsidR="00D53933" w:rsidRPr="00EB6307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Delavci so razporejeni oziroma enakomerno krožijo znotraj doma, zato se glede na število posameznikov z najzahtevnejšo obliko določi pavšal obremenitve za izplačevanje dodatka za delo z dementnimi osebami skladno z 39.</w:t>
      </w:r>
      <w:r w:rsidR="00EB6307">
        <w:rPr>
          <w:rFonts w:ascii="Times New Roman" w:hAnsi="Times New Roman" w:cs="Times New Roman"/>
          <w:sz w:val="20"/>
          <w:szCs w:val="20"/>
        </w:rPr>
        <w:t xml:space="preserve"> </w:t>
      </w:r>
      <w:r w:rsidRPr="00EB6307">
        <w:rPr>
          <w:rFonts w:ascii="Times New Roman" w:hAnsi="Times New Roman" w:cs="Times New Roman"/>
          <w:sz w:val="20"/>
          <w:szCs w:val="20"/>
        </w:rPr>
        <w:t>členom KPJS za posamezna delovna mesta in mesto izvajanja storitev, ki predstavlja delež ur polnega delovnega časa ali dnevne obveznosti, ki se nanaša na neposredno delo z osebami z najzahtevnejšimi oblikami demence (nege oz. oskrbe 3. in 4. kategorij).</w:t>
      </w:r>
    </w:p>
    <w:p w:rsidR="00D53933" w:rsidRPr="00EB6307" w:rsidRDefault="00D53933" w:rsidP="00D53933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D53933" w:rsidRPr="00EB6307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Podatek za letno oceno oziroma oktober 2016 je povzet na dan 31.10. 2016.</w:t>
      </w:r>
    </w:p>
    <w:p w:rsidR="00D53933" w:rsidRPr="00EB6307" w:rsidRDefault="00D53933" w:rsidP="00D53933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D53933" w:rsidRPr="00EB6307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V Domu starejših občanov je bilo na dan 31.10.2016:</w:t>
      </w:r>
    </w:p>
    <w:p w:rsidR="00D53933" w:rsidRPr="00EB6307" w:rsidRDefault="00D53933" w:rsidP="00D53933">
      <w:pPr>
        <w:pStyle w:val="Odstavekseznama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111 stanovalcev oz. 56% vseh stanovalcev, ki so razporejeni v 3 ali 4. kategorijo zdravstvene nege oz. oskrbe.</w:t>
      </w:r>
    </w:p>
    <w:p w:rsidR="00D53933" w:rsidRPr="00EB6307" w:rsidRDefault="00D53933" w:rsidP="00D53933">
      <w:pPr>
        <w:pStyle w:val="Odstavekseznam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D53933" w:rsidRPr="00EB6307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Od tega biva 23 stanovalcev v 1A, in 88 v vseh ostalih etažah.</w:t>
      </w:r>
    </w:p>
    <w:p w:rsidR="00D53933" w:rsidRPr="00EB6307" w:rsidRDefault="00D53933" w:rsidP="00D53933">
      <w:pPr>
        <w:pStyle w:val="Odstavekseznama"/>
        <w:jc w:val="both"/>
        <w:rPr>
          <w:rFonts w:ascii="Times New Roman" w:hAnsi="Times New Roman" w:cs="Times New Roman"/>
          <w:sz w:val="20"/>
          <w:szCs w:val="20"/>
        </w:rPr>
      </w:pPr>
    </w:p>
    <w:p w:rsidR="00D53933" w:rsidRPr="00EB6307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Pri opredelitvi ocene deleža neposrednega dela s stanovalci z demenco se upošteva:</w:t>
      </w:r>
    </w:p>
    <w:p w:rsidR="00D53933" w:rsidRPr="00EB6307" w:rsidRDefault="00D53933" w:rsidP="00D53933">
      <w:pPr>
        <w:pStyle w:val="Odstavekseznama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Število stanovalcev z najzahtevnejšimi oblikami demence v populaciji celotnega doma</w:t>
      </w:r>
    </w:p>
    <w:p w:rsidR="00D53933" w:rsidRPr="00EB6307" w:rsidRDefault="00D53933" w:rsidP="00D53933">
      <w:pPr>
        <w:pStyle w:val="Odstavekseznama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Delež neposrednega dela s stanovalci v oskrbi oziroma zdravstveni negi III in IV</w:t>
      </w:r>
    </w:p>
    <w:p w:rsidR="00D53933" w:rsidRPr="00EB6307" w:rsidRDefault="00D53933" w:rsidP="00D53933">
      <w:pPr>
        <w:pStyle w:val="Odstavekseznama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Struktura delovnih nalog</w:t>
      </w:r>
    </w:p>
    <w:p w:rsidR="00D53933" w:rsidRPr="00EB6307" w:rsidRDefault="00D53933" w:rsidP="00D53933">
      <w:pPr>
        <w:pStyle w:val="Odstavekseznama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D53933" w:rsidRPr="00EB6307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Ocena obremenitev za neposredno delo z dementnimi osebami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126"/>
      </w:tblGrid>
      <w:tr w:rsidR="00D53933" w:rsidRPr="00EB6307" w:rsidTr="00EB6307">
        <w:trPr>
          <w:trHeight w:val="340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ind w:left="360"/>
              <w:jc w:val="both"/>
              <w:rPr>
                <w:b/>
                <w:sz w:val="20"/>
                <w:szCs w:val="20"/>
              </w:rPr>
            </w:pPr>
            <w:r w:rsidRPr="00EB6307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b/>
                <w:sz w:val="18"/>
                <w:szCs w:val="18"/>
              </w:rPr>
            </w:pPr>
            <w:r w:rsidRPr="00EB6307">
              <w:rPr>
                <w:b/>
                <w:sz w:val="18"/>
                <w:szCs w:val="18"/>
              </w:rPr>
              <w:t>DELOVNO MESTO: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EB6307" w:rsidP="008866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  <w:r w:rsidR="00D53933" w:rsidRPr="00EB6307">
              <w:rPr>
                <w:b/>
                <w:sz w:val="20"/>
                <w:szCs w:val="20"/>
              </w:rPr>
              <w:t xml:space="preserve"> OBREMENITVE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STREŽNICA II (I)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40%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 xml:space="preserve">OSKRBOVALKA 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40%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GOSPODINJA OSKRBOVALKA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40%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BOLNIČAR NEGOVALEC I- nega III in IV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40%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SREDNJA MEDICINSKA SESTRA II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23%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SREDNJA MEDICINSKA SESTRA I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35%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ANIMATOR I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23%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 xml:space="preserve">MEDICINSKA SESTRA-VODJA TIMA 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23%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FIZIOTERAPEVT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23%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DELOVNI TERAPEVT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23%</w:t>
            </w:r>
          </w:p>
        </w:tc>
      </w:tr>
      <w:tr w:rsidR="00D53933" w:rsidRPr="00EB6307" w:rsidTr="00EB6307">
        <w:trPr>
          <w:trHeight w:hRule="exact" w:val="284"/>
        </w:trPr>
        <w:tc>
          <w:tcPr>
            <w:tcW w:w="95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TELEFONIST-RECEPTOR IV</w:t>
            </w:r>
          </w:p>
        </w:tc>
        <w:tc>
          <w:tcPr>
            <w:tcW w:w="2126" w:type="dxa"/>
            <w:shd w:val="clear" w:color="auto" w:fill="auto"/>
          </w:tcPr>
          <w:p w:rsidR="00D53933" w:rsidRPr="00EB6307" w:rsidRDefault="00D53933" w:rsidP="0088665E">
            <w:pPr>
              <w:jc w:val="both"/>
              <w:rPr>
                <w:sz w:val="20"/>
                <w:szCs w:val="20"/>
              </w:rPr>
            </w:pPr>
            <w:r w:rsidRPr="00EB6307">
              <w:rPr>
                <w:sz w:val="20"/>
                <w:szCs w:val="20"/>
              </w:rPr>
              <w:t>23%</w:t>
            </w:r>
          </w:p>
        </w:tc>
      </w:tr>
    </w:tbl>
    <w:p w:rsidR="00D53933" w:rsidRPr="00EB6307" w:rsidRDefault="00D53933" w:rsidP="00D53933">
      <w:pPr>
        <w:pStyle w:val="Odstavekseznama"/>
        <w:jc w:val="both"/>
        <w:rPr>
          <w:rFonts w:ascii="Times New Roman" w:hAnsi="Times New Roman" w:cs="Times New Roman"/>
          <w:sz w:val="20"/>
          <w:szCs w:val="20"/>
        </w:rPr>
      </w:pPr>
    </w:p>
    <w:p w:rsidR="00D53933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6307">
        <w:rPr>
          <w:rFonts w:ascii="Times New Roman" w:hAnsi="Times New Roman" w:cs="Times New Roman"/>
          <w:sz w:val="20"/>
          <w:szCs w:val="20"/>
        </w:rPr>
        <w:t>Za strežnice, oskrbovalke, gospodinje oskrbovalke, medicinske sestre se za čas ko delajo v enoti 1A upošteva 90% obremenitve zaradi specifičnih pogojev in zgoščenega negativnega vpliva.</w:t>
      </w:r>
    </w:p>
    <w:p w:rsidR="00295AA0" w:rsidRDefault="00295AA0" w:rsidP="00295AA0">
      <w:pPr>
        <w:pStyle w:val="Odstavekseznama"/>
        <w:jc w:val="both"/>
        <w:rPr>
          <w:rFonts w:ascii="Times New Roman" w:hAnsi="Times New Roman" w:cs="Times New Roman"/>
          <w:sz w:val="20"/>
          <w:szCs w:val="20"/>
        </w:rPr>
      </w:pPr>
    </w:p>
    <w:p w:rsidR="00295AA0" w:rsidRPr="00BD2A33" w:rsidRDefault="00295AA0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2A33">
        <w:rPr>
          <w:rFonts w:ascii="Times New Roman" w:hAnsi="Times New Roman" w:cs="Times New Roman"/>
          <w:sz w:val="20"/>
          <w:szCs w:val="20"/>
        </w:rPr>
        <w:t xml:space="preserve">Predlog upravičencev iz 8. točke </w:t>
      </w:r>
      <w:r w:rsidR="0078209D" w:rsidRPr="00BD2A33">
        <w:rPr>
          <w:rFonts w:ascii="Times New Roman" w:hAnsi="Times New Roman" w:cs="Times New Roman"/>
          <w:sz w:val="20"/>
          <w:szCs w:val="20"/>
        </w:rPr>
        <w:t xml:space="preserve">mesečno </w:t>
      </w:r>
      <w:r w:rsidRPr="00BD2A33">
        <w:rPr>
          <w:rFonts w:ascii="Times New Roman" w:hAnsi="Times New Roman" w:cs="Times New Roman"/>
          <w:sz w:val="20"/>
          <w:szCs w:val="20"/>
        </w:rPr>
        <w:t xml:space="preserve">sestavi namestnica direktorice za področje zdravstvene nege in oskrbe na podlagi dejanskega mesečnega razporeda dela. Izplačilo dodatka se izvede, ko predlog oz. poimenski seznam odobri direktorica. </w:t>
      </w:r>
    </w:p>
    <w:p w:rsidR="00D53933" w:rsidRPr="00BD2A33" w:rsidRDefault="00D53933" w:rsidP="00D53933">
      <w:pPr>
        <w:pStyle w:val="Odstavekseznama"/>
        <w:jc w:val="both"/>
        <w:rPr>
          <w:rFonts w:ascii="Times New Roman" w:hAnsi="Times New Roman" w:cs="Times New Roman"/>
          <w:sz w:val="20"/>
          <w:szCs w:val="20"/>
        </w:rPr>
      </w:pPr>
    </w:p>
    <w:p w:rsidR="00D53933" w:rsidRPr="00BD2A33" w:rsidRDefault="00D53933" w:rsidP="00D53933">
      <w:pPr>
        <w:pStyle w:val="Odstavekseznama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2A33">
        <w:rPr>
          <w:rFonts w:ascii="Times New Roman" w:hAnsi="Times New Roman" w:cs="Times New Roman"/>
          <w:sz w:val="20"/>
          <w:szCs w:val="20"/>
        </w:rPr>
        <w:t xml:space="preserve">Struktura in delež stanovalcev ter odstotek obremenitve po delovnih mestih se preveri enkrat letno v mesecu oktobru oz. novembru tekočega leta in velja za naslednje leto. </w:t>
      </w:r>
    </w:p>
    <w:p w:rsidR="00D53933" w:rsidRPr="00BD2A33" w:rsidRDefault="00D53933" w:rsidP="00D53933">
      <w:pPr>
        <w:jc w:val="both"/>
        <w:rPr>
          <w:bCs/>
          <w:sz w:val="20"/>
          <w:szCs w:val="20"/>
        </w:rPr>
      </w:pPr>
    </w:p>
    <w:p w:rsidR="00D53933" w:rsidRPr="00BD2A33" w:rsidRDefault="00D53933" w:rsidP="00D53933">
      <w:pPr>
        <w:jc w:val="both"/>
        <w:rPr>
          <w:sz w:val="20"/>
          <w:szCs w:val="20"/>
        </w:rPr>
      </w:pPr>
      <w:r w:rsidRPr="00BD2A33">
        <w:rPr>
          <w:bCs/>
          <w:sz w:val="20"/>
          <w:szCs w:val="20"/>
        </w:rPr>
        <w:t xml:space="preserve">Ta sklep se uporablja od novembra 2016 dalje, v kolikor k ugotovitvam podata pozitivno mnenje oba sindikata DSO Črnomelj. </w:t>
      </w:r>
    </w:p>
    <w:p w:rsidR="00D53933" w:rsidRPr="00BD2A33" w:rsidRDefault="00D53933" w:rsidP="00D53933">
      <w:pPr>
        <w:jc w:val="both"/>
        <w:rPr>
          <w:sz w:val="20"/>
          <w:szCs w:val="20"/>
        </w:rPr>
      </w:pPr>
    </w:p>
    <w:p w:rsidR="00295AA0" w:rsidRPr="00BD2A33" w:rsidRDefault="00295AA0" w:rsidP="00D53933">
      <w:pPr>
        <w:jc w:val="both"/>
        <w:rPr>
          <w:sz w:val="20"/>
          <w:szCs w:val="20"/>
        </w:rPr>
      </w:pPr>
      <w:r w:rsidRPr="00BD2A33">
        <w:rPr>
          <w:sz w:val="20"/>
          <w:szCs w:val="20"/>
        </w:rPr>
        <w:t xml:space="preserve">Z dnem pričetka uporabe tega sklepa, preneha veljati sklep direktorja št. IPO-9/2011 z dne 25.04.2011. </w:t>
      </w:r>
    </w:p>
    <w:p w:rsidR="00D53933" w:rsidRPr="00BD2A33" w:rsidRDefault="00D53933" w:rsidP="00D53933">
      <w:pPr>
        <w:pStyle w:val="Brezrazmikov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D2A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566E7A" w:rsidRPr="00BD2A33" w:rsidRDefault="00566E7A" w:rsidP="00566E7A">
      <w:pPr>
        <w:rPr>
          <w:sz w:val="20"/>
          <w:szCs w:val="20"/>
        </w:rPr>
      </w:pPr>
    </w:p>
    <w:p w:rsidR="001A55D5" w:rsidRPr="00EB6307" w:rsidRDefault="001A55D5" w:rsidP="001A55D5">
      <w:pPr>
        <w:rPr>
          <w:b/>
          <w:sz w:val="20"/>
          <w:szCs w:val="20"/>
        </w:rPr>
      </w:pPr>
    </w:p>
    <w:p w:rsidR="00CA0DD9" w:rsidRPr="00EB6307" w:rsidRDefault="00CA0DD9" w:rsidP="00CA0DD9">
      <w:pPr>
        <w:jc w:val="both"/>
        <w:rPr>
          <w:sz w:val="20"/>
          <w:szCs w:val="20"/>
        </w:rPr>
      </w:pPr>
      <w:r w:rsidRPr="00EB6307">
        <w:rPr>
          <w:sz w:val="20"/>
          <w:szCs w:val="20"/>
        </w:rPr>
        <w:t xml:space="preserve">Seja </w:t>
      </w:r>
      <w:r w:rsidR="00817318" w:rsidRPr="00EB6307">
        <w:rPr>
          <w:sz w:val="20"/>
          <w:szCs w:val="20"/>
        </w:rPr>
        <w:t xml:space="preserve">strokovnega sveta je bila zaključena ob </w:t>
      </w:r>
      <w:r w:rsidR="00EB6307" w:rsidRPr="00EB6307">
        <w:rPr>
          <w:sz w:val="20"/>
          <w:szCs w:val="20"/>
        </w:rPr>
        <w:t>14.00</w:t>
      </w:r>
      <w:r w:rsidR="006A0EDC" w:rsidRPr="00EB6307">
        <w:rPr>
          <w:sz w:val="20"/>
          <w:szCs w:val="20"/>
        </w:rPr>
        <w:t xml:space="preserve"> uri</w:t>
      </w:r>
      <w:r w:rsidRPr="00EB6307">
        <w:rPr>
          <w:sz w:val="20"/>
          <w:szCs w:val="20"/>
        </w:rPr>
        <w:t>.</w:t>
      </w:r>
    </w:p>
    <w:p w:rsidR="00CA0DD9" w:rsidRPr="00EB6307" w:rsidRDefault="00CA0DD9" w:rsidP="00CA0DD9">
      <w:pPr>
        <w:jc w:val="both"/>
        <w:rPr>
          <w:sz w:val="20"/>
          <w:szCs w:val="20"/>
        </w:rPr>
      </w:pPr>
    </w:p>
    <w:p w:rsidR="00EB6307" w:rsidRPr="00EB6307" w:rsidRDefault="00EB6307" w:rsidP="00CA0DD9">
      <w:pPr>
        <w:jc w:val="both"/>
        <w:rPr>
          <w:sz w:val="20"/>
          <w:szCs w:val="20"/>
        </w:rPr>
      </w:pPr>
    </w:p>
    <w:p w:rsidR="00575ED8" w:rsidRPr="00EB6307" w:rsidRDefault="00575ED8" w:rsidP="00CA0DD9">
      <w:pPr>
        <w:jc w:val="both"/>
        <w:rPr>
          <w:sz w:val="20"/>
          <w:szCs w:val="20"/>
        </w:rPr>
      </w:pPr>
    </w:p>
    <w:p w:rsidR="009E2786" w:rsidRPr="00EB6307" w:rsidRDefault="00547004" w:rsidP="006A0EDC">
      <w:pPr>
        <w:rPr>
          <w:sz w:val="20"/>
          <w:szCs w:val="20"/>
        </w:rPr>
      </w:pPr>
      <w:r w:rsidRPr="00EB6307">
        <w:rPr>
          <w:sz w:val="20"/>
          <w:szCs w:val="20"/>
        </w:rPr>
        <w:t>Zapisala:</w:t>
      </w:r>
      <w:r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="006A0EDC" w:rsidRPr="00EB6307">
        <w:rPr>
          <w:sz w:val="20"/>
          <w:szCs w:val="20"/>
        </w:rPr>
        <w:tab/>
      </w:r>
    </w:p>
    <w:p w:rsidR="006A0EDC" w:rsidRPr="00EB6307" w:rsidRDefault="00547004" w:rsidP="006A0EDC">
      <w:pPr>
        <w:rPr>
          <w:sz w:val="20"/>
          <w:szCs w:val="20"/>
        </w:rPr>
      </w:pPr>
      <w:r w:rsidRPr="00EB6307">
        <w:rPr>
          <w:sz w:val="20"/>
          <w:szCs w:val="20"/>
        </w:rPr>
        <w:t>Ksenija Pezdirc</w:t>
      </w:r>
      <w:r w:rsidR="007B1B1B" w:rsidRPr="00EB6307">
        <w:rPr>
          <w:sz w:val="20"/>
          <w:szCs w:val="20"/>
        </w:rPr>
        <w:tab/>
      </w:r>
      <w:r w:rsidR="007B1B1B" w:rsidRPr="00EB6307">
        <w:rPr>
          <w:sz w:val="20"/>
          <w:szCs w:val="20"/>
        </w:rPr>
        <w:tab/>
      </w:r>
      <w:r w:rsidR="007B1B1B"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Pr="00EB6307">
        <w:rPr>
          <w:sz w:val="20"/>
          <w:szCs w:val="20"/>
        </w:rPr>
        <w:tab/>
      </w:r>
      <w:r w:rsidR="00D34C0A" w:rsidRPr="00EB6307">
        <w:rPr>
          <w:sz w:val="20"/>
          <w:szCs w:val="20"/>
        </w:rPr>
        <w:tab/>
      </w:r>
      <w:r w:rsidR="00D34C0A" w:rsidRPr="00EB6307">
        <w:rPr>
          <w:sz w:val="20"/>
          <w:szCs w:val="20"/>
        </w:rPr>
        <w:tab/>
      </w:r>
      <w:r w:rsidR="009E2786" w:rsidRPr="00EB6307">
        <w:rPr>
          <w:sz w:val="20"/>
          <w:szCs w:val="20"/>
        </w:rPr>
        <w:t>Valerija Lekić Poljšak</w:t>
      </w:r>
    </w:p>
    <w:p w:rsidR="00D34C0A" w:rsidRPr="00EB6307" w:rsidRDefault="005F56D5" w:rsidP="006A0EDC">
      <w:pPr>
        <w:rPr>
          <w:sz w:val="20"/>
          <w:szCs w:val="20"/>
        </w:rPr>
      </w:pPr>
      <w:r w:rsidRPr="00EB6307">
        <w:rPr>
          <w:sz w:val="20"/>
          <w:szCs w:val="20"/>
        </w:rPr>
        <w:t xml:space="preserve">višja strokovna delavka v splošnih službah                                </w:t>
      </w:r>
      <w:bookmarkStart w:id="0" w:name="_GoBack"/>
      <w:bookmarkEnd w:id="0"/>
      <w:r w:rsidRPr="00EB6307">
        <w:rPr>
          <w:sz w:val="20"/>
          <w:szCs w:val="20"/>
        </w:rPr>
        <w:t xml:space="preserve">                    </w:t>
      </w:r>
      <w:r w:rsidR="00BE426E" w:rsidRPr="00EB6307">
        <w:rPr>
          <w:sz w:val="20"/>
          <w:szCs w:val="20"/>
        </w:rPr>
        <w:t xml:space="preserve">            </w:t>
      </w:r>
      <w:r w:rsidRPr="00EB6307">
        <w:rPr>
          <w:sz w:val="20"/>
          <w:szCs w:val="20"/>
        </w:rPr>
        <w:t xml:space="preserve"> </w:t>
      </w:r>
      <w:r w:rsidR="009E2786" w:rsidRPr="00EB6307">
        <w:rPr>
          <w:sz w:val="20"/>
          <w:szCs w:val="20"/>
        </w:rPr>
        <w:t xml:space="preserve">   </w:t>
      </w:r>
      <w:r w:rsidR="00D34C0A" w:rsidRPr="00EB6307">
        <w:rPr>
          <w:sz w:val="20"/>
          <w:szCs w:val="20"/>
        </w:rPr>
        <w:t>direktor</w:t>
      </w:r>
      <w:r w:rsidR="009E2786" w:rsidRPr="00EB6307">
        <w:rPr>
          <w:sz w:val="20"/>
          <w:szCs w:val="20"/>
        </w:rPr>
        <w:t>ica</w:t>
      </w:r>
    </w:p>
    <w:sectPr w:rsidR="00D34C0A" w:rsidRPr="00EB6307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C5"/>
    <w:multiLevelType w:val="hybridMultilevel"/>
    <w:tmpl w:val="46BE66B6"/>
    <w:lvl w:ilvl="0" w:tplc="55063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13"/>
    <w:multiLevelType w:val="hybridMultilevel"/>
    <w:tmpl w:val="7C2E7286"/>
    <w:lvl w:ilvl="0" w:tplc="86FCEB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A7241"/>
    <w:multiLevelType w:val="hybridMultilevel"/>
    <w:tmpl w:val="31B692C2"/>
    <w:lvl w:ilvl="0" w:tplc="8FBC8E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A59C3"/>
    <w:multiLevelType w:val="hybridMultilevel"/>
    <w:tmpl w:val="DE82C0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015F0"/>
    <w:multiLevelType w:val="hybridMultilevel"/>
    <w:tmpl w:val="B3660334"/>
    <w:lvl w:ilvl="0" w:tplc="EDCC6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F00709"/>
    <w:multiLevelType w:val="hybridMultilevel"/>
    <w:tmpl w:val="E26CE1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33315"/>
    <w:multiLevelType w:val="hybridMultilevel"/>
    <w:tmpl w:val="ADD41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1"/>
  </w:num>
  <w:num w:numId="4">
    <w:abstractNumId w:val="8"/>
  </w:num>
  <w:num w:numId="5">
    <w:abstractNumId w:val="37"/>
  </w:num>
  <w:num w:numId="6">
    <w:abstractNumId w:val="27"/>
  </w:num>
  <w:num w:numId="7">
    <w:abstractNumId w:val="30"/>
  </w:num>
  <w:num w:numId="8">
    <w:abstractNumId w:val="36"/>
  </w:num>
  <w:num w:numId="9">
    <w:abstractNumId w:val="14"/>
  </w:num>
  <w:num w:numId="10">
    <w:abstractNumId w:val="31"/>
  </w:num>
  <w:num w:numId="11">
    <w:abstractNumId w:val="3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8"/>
  </w:num>
  <w:num w:numId="19">
    <w:abstractNumId w:val="28"/>
  </w:num>
  <w:num w:numId="2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6"/>
  </w:num>
  <w:num w:numId="23">
    <w:abstractNumId w:val="20"/>
  </w:num>
  <w:num w:numId="24">
    <w:abstractNumId w:val="11"/>
  </w:num>
  <w:num w:numId="25">
    <w:abstractNumId w:val="2"/>
  </w:num>
  <w:num w:numId="26">
    <w:abstractNumId w:val="10"/>
  </w:num>
  <w:num w:numId="27">
    <w:abstractNumId w:val="32"/>
  </w:num>
  <w:num w:numId="28">
    <w:abstractNumId w:val="0"/>
  </w:num>
  <w:num w:numId="29">
    <w:abstractNumId w:val="29"/>
  </w:num>
  <w:num w:numId="30">
    <w:abstractNumId w:val="15"/>
  </w:num>
  <w:num w:numId="31">
    <w:abstractNumId w:val="16"/>
  </w:num>
  <w:num w:numId="32">
    <w:abstractNumId w:val="13"/>
  </w:num>
  <w:num w:numId="33">
    <w:abstractNumId w:val="17"/>
  </w:num>
  <w:num w:numId="34">
    <w:abstractNumId w:val="1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2"/>
  </w:num>
  <w:num w:numId="38">
    <w:abstractNumId w:val="1"/>
  </w:num>
  <w:num w:numId="39">
    <w:abstractNumId w:val="5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1317A5"/>
    <w:rsid w:val="001474FB"/>
    <w:rsid w:val="001A55D5"/>
    <w:rsid w:val="001D2571"/>
    <w:rsid w:val="0022027E"/>
    <w:rsid w:val="00295AA0"/>
    <w:rsid w:val="002A202B"/>
    <w:rsid w:val="003079E2"/>
    <w:rsid w:val="003539B2"/>
    <w:rsid w:val="003B3AAA"/>
    <w:rsid w:val="003E1B39"/>
    <w:rsid w:val="003E7E93"/>
    <w:rsid w:val="00424E82"/>
    <w:rsid w:val="00547004"/>
    <w:rsid w:val="00566E7A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7330D5"/>
    <w:rsid w:val="00747C55"/>
    <w:rsid w:val="0078209D"/>
    <w:rsid w:val="007A259C"/>
    <w:rsid w:val="007B1B1B"/>
    <w:rsid w:val="00817318"/>
    <w:rsid w:val="00823104"/>
    <w:rsid w:val="00851817"/>
    <w:rsid w:val="00875931"/>
    <w:rsid w:val="00881185"/>
    <w:rsid w:val="008B0F04"/>
    <w:rsid w:val="009C7064"/>
    <w:rsid w:val="009E2786"/>
    <w:rsid w:val="00A34BC9"/>
    <w:rsid w:val="00A40A84"/>
    <w:rsid w:val="00A749CA"/>
    <w:rsid w:val="00AA2BAF"/>
    <w:rsid w:val="00AD293F"/>
    <w:rsid w:val="00AD7CD3"/>
    <w:rsid w:val="00B522A7"/>
    <w:rsid w:val="00B70D77"/>
    <w:rsid w:val="00BD2A33"/>
    <w:rsid w:val="00BE149C"/>
    <w:rsid w:val="00BE2CE9"/>
    <w:rsid w:val="00BE426E"/>
    <w:rsid w:val="00C12E4E"/>
    <w:rsid w:val="00C41D8A"/>
    <w:rsid w:val="00C72C00"/>
    <w:rsid w:val="00C90C00"/>
    <w:rsid w:val="00C97197"/>
    <w:rsid w:val="00CA0DD9"/>
    <w:rsid w:val="00D01419"/>
    <w:rsid w:val="00D34C0A"/>
    <w:rsid w:val="00D53933"/>
    <w:rsid w:val="00D61C90"/>
    <w:rsid w:val="00E22405"/>
    <w:rsid w:val="00E554AD"/>
    <w:rsid w:val="00E86681"/>
    <w:rsid w:val="00EB6307"/>
    <w:rsid w:val="00EF557B"/>
    <w:rsid w:val="00F36F7A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6</cp:revision>
  <cp:lastPrinted>2016-11-23T11:16:00Z</cp:lastPrinted>
  <dcterms:created xsi:type="dcterms:W3CDTF">2016-11-10T13:45:00Z</dcterms:created>
  <dcterms:modified xsi:type="dcterms:W3CDTF">2016-11-23T11:17:00Z</dcterms:modified>
</cp:coreProperties>
</file>